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12348">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eastAsia="Times New Roman" w:cs="Times New Roman"/>
          <w:b/>
          <w:bCs/>
          <w:color w:val="auto"/>
          <w:kern w:val="0"/>
          <w:sz w:val="24"/>
          <w:szCs w:val="24"/>
          <w:highlight w:val="none"/>
          <w:shd w:val="clear" w:color="FFFFFF" w:fill="FFFFFF"/>
          <w:lang w:val="en-US" w:eastAsia="zh-CN"/>
        </w:rPr>
      </w:pPr>
      <w:bookmarkStart w:id="0" w:name="_GoBack"/>
      <w:r>
        <w:rPr>
          <w:rFonts w:hint="default" w:ascii="Times New Roman" w:hAnsi="Times New Roman" w:eastAsia="Times New Roman" w:cs="Times New Roman"/>
          <w:b/>
          <w:bCs/>
          <w:color w:val="auto"/>
          <w:kern w:val="0"/>
          <w:sz w:val="24"/>
          <w:szCs w:val="24"/>
          <w:highlight w:val="none"/>
          <w:shd w:val="clear" w:color="FFFFFF" w:fill="FFFFFF"/>
          <w:lang w:val="en-US" w:eastAsia="zh-CN"/>
        </w:rPr>
        <w:t>Supplemental online material</w:t>
      </w:r>
      <w:r>
        <w:rPr>
          <w:rFonts w:hint="eastAsia" w:ascii="Times New Roman" w:hAnsi="Times New Roman" w:eastAsia="Times New Roman" w:cs="Times New Roman"/>
          <w:b/>
          <w:bCs/>
          <w:color w:val="auto"/>
          <w:kern w:val="0"/>
          <w:sz w:val="24"/>
          <w:szCs w:val="24"/>
          <w:highlight w:val="none"/>
          <w:shd w:val="clear" w:color="FFFFFF" w:fill="FFFFFF"/>
          <w:lang w:val="en-US" w:eastAsia="zh-CN"/>
        </w:rPr>
        <w:t xml:space="preserve"> 1</w:t>
      </w:r>
      <w:bookmarkEnd w:id="0"/>
    </w:p>
    <w:p w14:paraId="74585402">
      <w:pPr>
        <w:spacing w:before="210" w:after="60" w:line="480" w:lineRule="auto"/>
        <w:jc w:val="both"/>
        <w:rPr>
          <w:rFonts w:hint="default" w:ascii="Times New Roman" w:hAnsi="Times New Roman" w:cs="Times New Roman"/>
          <w:b/>
          <w:bCs/>
          <w:i w:val="0"/>
          <w:iCs w:val="0"/>
          <w:color w:val="auto"/>
          <w:sz w:val="24"/>
          <w:szCs w:val="24"/>
          <w:highlight w:val="none"/>
          <w:shd w:val="clear" w:color="FFFFFF" w:fill="FFFFFF"/>
        </w:rPr>
      </w:pPr>
      <w:r>
        <w:rPr>
          <w:rFonts w:hint="default" w:ascii="Times New Roman" w:hAnsi="Times New Roman" w:cs="Times New Roman"/>
          <w:b/>
          <w:bCs/>
          <w:i w:val="0"/>
          <w:iCs w:val="0"/>
          <w:color w:val="auto"/>
          <w:sz w:val="24"/>
          <w:szCs w:val="24"/>
          <w:highlight w:val="none"/>
          <w:shd w:val="clear" w:color="FFFFFF" w:fill="FFFFFF"/>
        </w:rPr>
        <w:t>More Robustness Tests</w:t>
      </w:r>
    </w:p>
    <w:p w14:paraId="22C669C5">
      <w:pPr>
        <w:numPr>
          <w:ilvl w:val="0"/>
          <w:numId w:val="0"/>
        </w:numPr>
        <w:spacing w:before="210" w:after="60" w:line="480" w:lineRule="auto"/>
        <w:jc w:val="both"/>
        <w:rPr>
          <w:rFonts w:hint="eastAsia" w:ascii="Times New Roman" w:hAnsi="Times New Roman" w:eastAsia="宋体" w:cs="Times New Roman"/>
          <w:b/>
          <w:bCs/>
          <w:i/>
          <w:iCs/>
          <w:color w:val="auto"/>
          <w:sz w:val="24"/>
          <w:szCs w:val="24"/>
          <w:highlight w:val="none"/>
          <w:shd w:val="clear" w:color="FFFFFF" w:fill="FFFFFF"/>
          <w:lang w:val="en-US" w:eastAsia="zh-CN"/>
        </w:rPr>
      </w:pPr>
      <w:r>
        <w:rPr>
          <w:rFonts w:hint="eastAsia" w:ascii="Times New Roman" w:hAnsi="Times New Roman" w:eastAsia="宋体" w:cs="Times New Roman"/>
          <w:b/>
          <w:bCs/>
          <w:i/>
          <w:iCs/>
          <w:color w:val="auto"/>
          <w:sz w:val="24"/>
          <w:szCs w:val="24"/>
          <w:shd w:val="clear" w:fill="FFFFFF"/>
          <w:lang w:val="en-US" w:eastAsia="zh-CN" w:bidi="ar-SA"/>
        </w:rPr>
        <w:t>1</w:t>
      </w:r>
      <w:r>
        <w:rPr>
          <w:rFonts w:hint="eastAsia" w:eastAsia="宋体" w:cs="Times New Roman"/>
          <w:b/>
          <w:bCs/>
          <w:i/>
          <w:iCs/>
          <w:color w:val="auto"/>
          <w:sz w:val="24"/>
          <w:szCs w:val="24"/>
          <w:shd w:val="clear" w:fill="FFFFFF"/>
          <w:lang w:val="en-US" w:eastAsia="zh-CN" w:bidi="ar-SA"/>
        </w:rPr>
        <w:t xml:space="preserve"> </w:t>
      </w:r>
      <w:r>
        <w:rPr>
          <w:rFonts w:hint="default" w:ascii="Times New Roman" w:hAnsi="Times New Roman" w:cs="Times New Roman"/>
          <w:b/>
          <w:bCs/>
          <w:i/>
          <w:iCs/>
          <w:color w:val="auto"/>
          <w:sz w:val="24"/>
          <w:szCs w:val="24"/>
          <w:highlight w:val="none"/>
          <w:shd w:val="clear" w:color="FFFFFF" w:fill="FFFFFF"/>
        </w:rPr>
        <w:t>Remeasurement of the Explained Variable.</w:t>
      </w:r>
      <w:r>
        <w:rPr>
          <w:rFonts w:hint="eastAsia" w:ascii="Times New Roman" w:hAnsi="Times New Roman" w:eastAsia="宋体" w:cs="Times New Roman"/>
          <w:b/>
          <w:bCs/>
          <w:i/>
          <w:iCs/>
          <w:color w:val="auto"/>
          <w:sz w:val="24"/>
          <w:szCs w:val="24"/>
          <w:highlight w:val="none"/>
          <w:shd w:val="clear" w:color="FFFFFF" w:fill="FFFFFF"/>
          <w:lang w:val="en-US" w:eastAsia="zh-CN"/>
        </w:rPr>
        <w:t xml:space="preserve"> </w:t>
      </w:r>
    </w:p>
    <w:p w14:paraId="3085164A">
      <w:pPr>
        <w:numPr>
          <w:ilvl w:val="0"/>
          <w:numId w:val="0"/>
        </w:numPr>
        <w:spacing w:before="210" w:after="60" w:line="480" w:lineRule="auto"/>
        <w:jc w:val="both"/>
        <w:rPr>
          <w:rFonts w:hint="default" w:ascii="Times New Roman" w:hAnsi="Times New Roman" w:cs="Times New Roman"/>
          <w:color w:val="auto"/>
          <w:sz w:val="24"/>
          <w:szCs w:val="24"/>
          <w:highlight w:val="none"/>
          <w:shd w:val="clear" w:color="FFFFFF" w:fill="FFFFFF"/>
        </w:rPr>
      </w:pPr>
      <w:r>
        <w:rPr>
          <w:rFonts w:hint="default" w:ascii="Times New Roman" w:hAnsi="Times New Roman" w:cs="Times New Roman"/>
          <w:color w:val="auto"/>
          <w:sz w:val="24"/>
          <w:szCs w:val="24"/>
          <w:highlight w:val="none"/>
          <w:shd w:val="clear" w:color="FFFFFF" w:fill="FFFFFF"/>
        </w:rPr>
        <w:t xml:space="preserve">Two approaches are applied to remeasure </w:t>
      </w:r>
      <w:r>
        <w:rPr>
          <w:rFonts w:hint="default" w:ascii="Times New Roman" w:hAnsi="Times New Roman" w:cs="Times New Roman"/>
          <w:color w:val="auto"/>
          <w:sz w:val="24"/>
          <w:szCs w:val="24"/>
          <w:highlight w:val="none"/>
          <w:shd w:val="clear" w:color="FFFFFF" w:fill="FFFFFF"/>
          <w:lang w:val="en-US" w:eastAsia="zh-CN"/>
        </w:rPr>
        <w:t>e</w:t>
      </w:r>
      <w:r>
        <w:rPr>
          <w:rFonts w:hint="default" w:ascii="Times New Roman" w:hAnsi="Times New Roman" w:eastAsia="Times New Roman" w:cs="Times New Roman"/>
          <w:color w:val="auto"/>
          <w:sz w:val="24"/>
          <w:szCs w:val="24"/>
          <w:highlight w:val="none"/>
          <w:shd w:val="clear" w:color="FFFFFF" w:fill="FFFFFF"/>
          <w:lang w:val="en-US" w:eastAsia="zh-CN"/>
        </w:rPr>
        <w:t xml:space="preserve">nterprise </w:t>
      </w:r>
      <w:r>
        <w:rPr>
          <w:rFonts w:hint="default" w:ascii="Times New Roman" w:hAnsi="Times New Roman" w:eastAsia="Times New Roman" w:cs="Times New Roman"/>
          <w:color w:val="auto"/>
          <w:sz w:val="24"/>
          <w:szCs w:val="24"/>
          <w:highlight w:val="none"/>
          <w:lang w:val="en-US" w:eastAsia="zh-CN"/>
        </w:rPr>
        <w:t>pollution emission intensity</w:t>
      </w:r>
      <w:r>
        <w:rPr>
          <w:rFonts w:hint="default" w:ascii="Times New Roman" w:hAnsi="Times New Roman" w:cs="Times New Roman"/>
          <w:color w:val="auto"/>
          <w:sz w:val="24"/>
          <w:szCs w:val="24"/>
          <w:highlight w:val="none"/>
          <w:shd w:val="clear" w:color="FFFFFF" w:fill="FFFFFF"/>
        </w:rPr>
        <w:t>.</w:t>
      </w:r>
      <w:r>
        <w:rPr>
          <w:rFonts w:hint="default" w:ascii="Times New Roman" w:hAnsi="Times New Roman" w:eastAsia="宋体" w:cs="Times New Roman"/>
          <w:color w:val="auto"/>
          <w:sz w:val="24"/>
          <w:szCs w:val="24"/>
          <w:highlight w:val="none"/>
          <w:shd w:val="clear" w:color="FFFFFF" w:fill="FFFFFF"/>
          <w:lang w:val="en-US" w:eastAsia="zh-CN"/>
        </w:rPr>
        <w:t xml:space="preserve"> </w:t>
      </w:r>
      <w:r>
        <w:rPr>
          <w:rFonts w:hint="default" w:ascii="Times New Roman" w:hAnsi="Times New Roman" w:cs="Times New Roman"/>
          <w:color w:val="auto"/>
          <w:sz w:val="24"/>
          <w:szCs w:val="24"/>
          <w:highlight w:val="none"/>
          <w:shd w:val="clear" w:color="FFFFFF" w:fill="FFFFFF"/>
        </w:rPr>
        <w:t xml:space="preserve">First, referring to </w:t>
      </w:r>
      <w:r>
        <w:rPr>
          <w:rFonts w:hint="default" w:ascii="Times New Roman" w:hAnsi="Times New Roman" w:cs="Times New Roman" w:eastAsiaTheme="minorEastAsia"/>
          <w:color w:val="auto"/>
          <w:kern w:val="0"/>
          <w:sz w:val="24"/>
          <w:szCs w:val="24"/>
          <w:highlight w:val="none"/>
          <w:u w:val="none"/>
          <w:lang w:val="en-US" w:eastAsia="zh-CN"/>
        </w:rPr>
        <w:fldChar w:fldCharType="begin"/>
      </w:r>
      <w:r>
        <w:rPr>
          <w:rFonts w:hint="default" w:ascii="Times New Roman" w:hAnsi="Times New Roman" w:cs="Times New Roman" w:eastAsiaTheme="minorEastAsia"/>
          <w:color w:val="auto"/>
          <w:kern w:val="0"/>
          <w:sz w:val="24"/>
          <w:szCs w:val="24"/>
          <w:highlight w:val="none"/>
          <w:u w:val="none"/>
          <w:lang w:val="en-US" w:eastAsia="zh-CN"/>
        </w:rPr>
        <w:instrText xml:space="preserve"> ADDIN ZOTERO_ITEM CSL_CITATION {"citationID":"sXLNAuTR","properties":{"formattedCitation":"(Du and Li, 2020)","plainCitation":"(Du and Li, 2020)","dontUpdate":true,"noteIndex":0},"citationItems":[{"id":507,"uris":["http://zotero.org/users/18415966/items/VGA9NA3M"],"itemData":{"id":507,"type":"article-journal","abstract":"Given the rapid industrialization and urbanization of China, environmental problems have gradually become major constraints that hinder its sustainable economic development. Moreover, China's pollution abatement and reduction of greenhouse gas emissions have been severely affected by pressures coming from domestic environmental appeals and international environmental diplomacy. By using integrated data from the Chinese Industrial Enterprise and the Chinese Enterprise Environmental Survey and Reporting databases, this study constructs comprehensive indicators of pollutant discharge intensity and carbon emissions index at the enterprise level and uses the panel fixed effect model, Kaya identity, and mediation effect model to assess the effects of environmental regulations on pollution abatement and collaborative emissions reduction from the micro-perspective. Results show that these regulations can abate the pollution emissions of Chinese industrial enterprises and verify the effectiveness of environmental policies. These regulations can also efficiently reduce the carbon dioxide emissions of enterprises through pollution abatement. In other words, environmental regulations facilitate a collaborative emissions reduction of pollutant and greenhouse gas emissions from enterprises. Such collaborative emissions reduction effect is also influenced by the energy structure and consumption of enterprises. This paper presents empirical evidence and policy basis for further improving China's environmental regulation policy system and achieving coordinated progress in China's economic development and environmental governance.","container-title":"Environmental Impact Assessment Review","DOI":"10.1016/j.eiar.2020.106382","ISSN":"0195-9255","journalAbbreviation":"Environmental Impact Assessment Review","page":"106382","source":"ScienceDirect","title":"Assessing the impact of environmental regulation on pollution abatement and collaborative emissions reduction: Micro-evidence from Chinese industrial enterprises","title-short":"Assessing the impact of environmental regulation on pollution abatement and collaborative emissions reduction","volume":"82","author":[{"family":"Du","given":"Weijian"},{"family":"Li","given":"Mengjie"}],"issued":{"date-parts":[["2020",5,1]]}}}],"schema":"https://github.com/citation-style-language/schema/raw/master/csl-citation.json"} </w:instrText>
      </w:r>
      <w:r>
        <w:rPr>
          <w:rFonts w:hint="default" w:ascii="Times New Roman" w:hAnsi="Times New Roman" w:cs="Times New Roman" w:eastAsiaTheme="minorEastAsia"/>
          <w:color w:val="auto"/>
          <w:kern w:val="0"/>
          <w:sz w:val="24"/>
          <w:szCs w:val="24"/>
          <w:highlight w:val="none"/>
          <w:u w:val="none"/>
          <w:lang w:val="en-US" w:eastAsia="zh-CN"/>
        </w:rPr>
        <w:fldChar w:fldCharType="separate"/>
      </w:r>
      <w:r>
        <w:rPr>
          <w:rFonts w:hint="default" w:ascii="Times New Roman" w:hAnsi="Times New Roman" w:cs="Times New Roman" w:eastAsiaTheme="minorEastAsia"/>
          <w:color w:val="auto"/>
          <w:sz w:val="24"/>
          <w:szCs w:val="24"/>
          <w:highlight w:val="none"/>
          <w:lang w:eastAsia="zh-CN"/>
        </w:rPr>
        <w:t xml:space="preserve">Du and Li </w:t>
      </w:r>
      <w:r>
        <w:rPr>
          <w:rFonts w:hint="default" w:ascii="Times New Roman" w:hAnsi="Times New Roman" w:cs="Times New Roman" w:eastAsiaTheme="minorEastAsia"/>
          <w:color w:val="auto"/>
          <w:sz w:val="24"/>
          <w:szCs w:val="24"/>
          <w:highlight w:val="none"/>
          <w:lang w:val="en-US" w:eastAsia="zh-CN"/>
        </w:rPr>
        <w:t>(</w:t>
      </w:r>
      <w:r>
        <w:rPr>
          <w:rFonts w:hint="default" w:ascii="Times New Roman" w:hAnsi="Times New Roman" w:cs="Times New Roman" w:eastAsiaTheme="minorEastAsia"/>
          <w:color w:val="auto"/>
          <w:sz w:val="24"/>
          <w:szCs w:val="24"/>
          <w:highlight w:val="none"/>
          <w:lang w:eastAsia="zh-CN"/>
        </w:rPr>
        <w:t>2020)</w:t>
      </w:r>
      <w:r>
        <w:rPr>
          <w:rFonts w:hint="default" w:ascii="Times New Roman" w:hAnsi="Times New Roman" w:cs="Times New Roman" w:eastAsiaTheme="minorEastAsia"/>
          <w:color w:val="auto"/>
          <w:kern w:val="0"/>
          <w:sz w:val="24"/>
          <w:szCs w:val="24"/>
          <w:highlight w:val="none"/>
          <w:u w:val="none"/>
          <w:lang w:val="en-US" w:eastAsia="zh-CN"/>
        </w:rPr>
        <w:fldChar w:fldCharType="end"/>
      </w:r>
      <w:r>
        <w:rPr>
          <w:rFonts w:hint="default" w:ascii="Times New Roman" w:hAnsi="Times New Roman" w:cs="Times New Roman"/>
          <w:color w:val="auto"/>
          <w:sz w:val="24"/>
          <w:szCs w:val="24"/>
          <w:highlight w:val="none"/>
          <w:shd w:val="clear" w:color="FFFFFF" w:fill="FFFFFF"/>
        </w:rPr>
        <w:t xml:space="preserve">, </w:t>
      </w:r>
      <w:r>
        <w:rPr>
          <w:rFonts w:hint="default" w:ascii="Times New Roman" w:hAnsi="Times New Roman" w:eastAsia="宋体" w:cs="Times New Roman"/>
          <w:color w:val="auto"/>
          <w:sz w:val="24"/>
          <w:szCs w:val="24"/>
          <w:highlight w:val="none"/>
          <w:shd w:val="clear" w:color="FFFFFF" w:fill="FFFFFF"/>
          <w:lang w:eastAsia="zh-CN"/>
        </w:rPr>
        <w:t>b</w:t>
      </w:r>
      <w:r>
        <w:rPr>
          <w:rFonts w:hint="default" w:ascii="Times New Roman" w:hAnsi="Times New Roman" w:cs="Times New Roman"/>
          <w:color w:val="auto"/>
          <w:sz w:val="24"/>
          <w:szCs w:val="24"/>
          <w:highlight w:val="none"/>
          <w:shd w:val="clear" w:color="FFFFFF" w:fill="FFFFFF"/>
        </w:rPr>
        <w:t>y standardizing and weighting the ratio of five major pollutant emissions to core business revenue, the resulting enterprise pollutant emission intensity I (</w:t>
      </w:r>
      <w:r>
        <w:rPr>
          <w:rFonts w:hint="default" w:ascii="Times New Roman" w:hAnsi="Times New Roman" w:cs="Times New Roman"/>
          <w:i/>
          <w:iCs/>
          <w:color w:val="auto"/>
          <w:sz w:val="24"/>
          <w:szCs w:val="24"/>
          <w:highlight w:val="none"/>
          <w:shd w:val="clear" w:color="FFFFFF" w:fill="FFFFFF"/>
        </w:rPr>
        <w:t>PI</w:t>
      </w:r>
      <w:r>
        <w:rPr>
          <w:rFonts w:hint="default" w:ascii="Times New Roman" w:hAnsi="Times New Roman" w:cs="Times New Roman"/>
          <w:color w:val="auto"/>
          <w:sz w:val="24"/>
          <w:szCs w:val="24"/>
          <w:highlight w:val="none"/>
          <w:shd w:val="clear" w:color="FFFFFF" w:fill="FFFFFF"/>
        </w:rPr>
        <w:t>)</w:t>
      </w:r>
      <w:r>
        <w:rPr>
          <w:rFonts w:hint="default" w:ascii="Times New Roman" w:hAnsi="Times New Roman" w:eastAsia="宋体" w:cs="Times New Roman"/>
          <w:color w:val="auto"/>
          <w:sz w:val="24"/>
          <w:szCs w:val="24"/>
          <w:highlight w:val="none"/>
          <w:shd w:val="clear" w:color="FFFFFF" w:fill="FFFFFF"/>
          <w:lang w:eastAsia="zh-CN"/>
        </w:rPr>
        <w:t xml:space="preserve"> </w:t>
      </w:r>
      <w:r>
        <w:rPr>
          <w:rFonts w:hint="default" w:ascii="Times New Roman" w:hAnsi="Times New Roman" w:cs="Times New Roman"/>
          <w:color w:val="auto"/>
          <w:sz w:val="24"/>
          <w:szCs w:val="24"/>
          <w:highlight w:val="none"/>
          <w:shd w:val="clear" w:color="FFFFFF" w:fill="FFFFFF"/>
        </w:rPr>
        <w:t>is employed as the regressand in robustness analysis.</w:t>
      </w:r>
      <w:r>
        <w:rPr>
          <w:rFonts w:hint="default" w:ascii="Times New Roman" w:hAnsi="Times New Roman" w:eastAsia="宋体" w:cs="Times New Roman"/>
          <w:color w:val="auto"/>
          <w:sz w:val="24"/>
          <w:szCs w:val="24"/>
          <w:highlight w:val="none"/>
          <w:shd w:val="clear" w:color="FFFFFF" w:fill="FFFFFF"/>
          <w:lang w:val="en-US" w:eastAsia="zh-CN"/>
        </w:rPr>
        <w:t xml:space="preserve"> </w:t>
      </w:r>
      <w:r>
        <w:rPr>
          <w:rFonts w:hint="default" w:ascii="Times New Roman" w:hAnsi="Times New Roman" w:cs="Times New Roman"/>
          <w:color w:val="auto"/>
          <w:sz w:val="24"/>
          <w:szCs w:val="24"/>
          <w:highlight w:val="none"/>
          <w:shd w:val="clear" w:color="FFFFFF" w:fill="FFFFFF"/>
        </w:rPr>
        <w:t xml:space="preserve">Second, according to </w:t>
      </w:r>
      <w:r>
        <w:rPr>
          <w:rFonts w:hint="default" w:ascii="Times New Roman" w:hAnsi="Times New Roman" w:cs="Times New Roman" w:eastAsiaTheme="minorEastAsia"/>
          <w:color w:val="auto"/>
          <w:sz w:val="24"/>
          <w:szCs w:val="24"/>
          <w:highlight w:val="none"/>
          <w:u w:val="none"/>
          <w:lang w:val="en-US" w:eastAsia="zh-CN"/>
        </w:rPr>
        <w:fldChar w:fldCharType="begin"/>
      </w:r>
      <w:r>
        <w:rPr>
          <w:rFonts w:hint="default" w:ascii="Times New Roman" w:hAnsi="Times New Roman" w:cs="Times New Roman" w:eastAsiaTheme="minorEastAsia"/>
          <w:color w:val="auto"/>
          <w:sz w:val="24"/>
          <w:szCs w:val="24"/>
          <w:highlight w:val="none"/>
          <w:u w:val="none"/>
          <w:lang w:val="en-US" w:eastAsia="zh-CN"/>
        </w:rPr>
        <w:instrText xml:space="preserve"> ADDIN ZOTERO_ITEM CSL_CITATION {"citationID":"LQ52hQo5","properties":{"formattedCitation":"(Lelieveld et al., 2015)","plainCitation":"(Lelieveld et al., 2015)","dontUpdate":true,"noteIndex":0},"citationItems":[{"id":509,"uris":["http://zotero.org/users/18415966/items/C9U8HCDG"],"itemData":{"id":509,"type":"article-journal","abstract":"Investigation of premature mortality by seven emission sources of atmospheric pollutants shows that outdoor air pollution, mostly by fine particulate matter, leads to more than three million premature deaths per year worldwide, which could double by 2050.","container-title":"Nature","DOI":"10.1038/nature15371","ISSN":"1476-4687","issue":"7569","language":"en","license":"2015 Springer Nature Limited","note":"publisher: Nature Publishing Group","page":"367-371","source":"www.nature.com","title":"The contribution of outdoor air pollution sources to premature mortality on a global scale","volume":"525","author":[{"family":"Lelieveld","given":"J."},{"family":"Evans","given":"J. S."},{"family":"Fnais","given":"M."},{"family":"Giannadaki","given":"D."},{"family":"Pozzer","given":"A."}],"issued":{"date-parts":[["2015",9]]}}}],"schema":"https://github.com/citation-style-language/schema/raw/master/csl-citation.json"} </w:instrText>
      </w:r>
      <w:r>
        <w:rPr>
          <w:rFonts w:hint="default" w:ascii="Times New Roman" w:hAnsi="Times New Roman" w:cs="Times New Roman" w:eastAsiaTheme="minorEastAsia"/>
          <w:color w:val="auto"/>
          <w:sz w:val="24"/>
          <w:szCs w:val="24"/>
          <w:highlight w:val="none"/>
          <w:u w:val="none"/>
          <w:lang w:val="en-US" w:eastAsia="zh-CN"/>
        </w:rPr>
        <w:fldChar w:fldCharType="separate"/>
      </w:r>
      <w:r>
        <w:rPr>
          <w:rFonts w:hint="default" w:ascii="Times New Roman" w:hAnsi="Times New Roman" w:cs="Times New Roman" w:eastAsiaTheme="minorEastAsia"/>
          <w:color w:val="auto"/>
          <w:sz w:val="24"/>
          <w:szCs w:val="24"/>
          <w:highlight w:val="none"/>
          <w:lang w:eastAsia="zh-CN"/>
        </w:rPr>
        <w:t xml:space="preserve">Lelieveld et al. </w:t>
      </w:r>
      <w:r>
        <w:rPr>
          <w:rFonts w:hint="default" w:ascii="Times New Roman" w:hAnsi="Times New Roman" w:cs="Times New Roman" w:eastAsiaTheme="minorEastAsia"/>
          <w:color w:val="auto"/>
          <w:sz w:val="24"/>
          <w:szCs w:val="24"/>
          <w:highlight w:val="none"/>
          <w:lang w:val="en-US" w:eastAsia="zh-CN"/>
        </w:rPr>
        <w:t>(</w:t>
      </w:r>
      <w:r>
        <w:rPr>
          <w:rFonts w:hint="default" w:ascii="Times New Roman" w:hAnsi="Times New Roman" w:cs="Times New Roman" w:eastAsiaTheme="minorEastAsia"/>
          <w:color w:val="auto"/>
          <w:sz w:val="24"/>
          <w:szCs w:val="24"/>
          <w:highlight w:val="none"/>
          <w:lang w:eastAsia="zh-CN"/>
        </w:rPr>
        <w:t>2015)</w:t>
      </w:r>
      <w:r>
        <w:rPr>
          <w:rFonts w:hint="default" w:ascii="Times New Roman" w:hAnsi="Times New Roman" w:cs="Times New Roman" w:eastAsiaTheme="minorEastAsia"/>
          <w:color w:val="auto"/>
          <w:sz w:val="24"/>
          <w:szCs w:val="24"/>
          <w:highlight w:val="none"/>
          <w:u w:val="none"/>
          <w:lang w:val="en-US" w:eastAsia="zh-CN"/>
        </w:rPr>
        <w:fldChar w:fldCharType="end"/>
      </w:r>
      <w:r>
        <w:rPr>
          <w:rFonts w:hint="default" w:ascii="Times New Roman" w:hAnsi="Times New Roman" w:cs="Times New Roman"/>
          <w:color w:val="auto"/>
          <w:sz w:val="24"/>
          <w:szCs w:val="24"/>
          <w:highlight w:val="none"/>
          <w:shd w:val="clear" w:color="FFFFFF" w:fill="FFFFFF"/>
        </w:rPr>
        <w:t>, the smog phenomenon caused by air pollution profoundly impacts the climate, and cities’ ability to achieve sustainable development. This study focuses on three key atmospheric pollutants (sulfur dioxide, SO₂; nitrogen oxides, NOₓ; particulate matter, PM) to</w:t>
      </w:r>
      <w:r>
        <w:rPr>
          <w:rFonts w:hint="default" w:ascii="Times New Roman" w:hAnsi="Times New Roman" w:eastAsia="宋体" w:cs="Times New Roman"/>
          <w:color w:val="auto"/>
          <w:sz w:val="24"/>
          <w:szCs w:val="24"/>
          <w:highlight w:val="none"/>
          <w:shd w:val="clear" w:color="FFFFFF" w:fill="FFFFFF"/>
          <w:lang w:eastAsia="zh-CN"/>
        </w:rPr>
        <w:t xml:space="preserve"> </w:t>
      </w:r>
      <w:r>
        <w:rPr>
          <w:rFonts w:hint="default" w:ascii="Times New Roman" w:hAnsi="Times New Roman" w:cs="Times New Roman"/>
          <w:color w:val="auto"/>
          <w:sz w:val="24"/>
          <w:szCs w:val="24"/>
          <w:highlight w:val="none"/>
          <w:shd w:val="clear" w:color="FFFFFF" w:fill="FFFFFF"/>
        </w:rPr>
        <w:t>derive</w:t>
      </w:r>
      <w:r>
        <w:rPr>
          <w:rFonts w:hint="default" w:ascii="Times New Roman" w:hAnsi="Times New Roman" w:eastAsia="宋体" w:cs="Times New Roman"/>
          <w:color w:val="auto"/>
          <w:sz w:val="24"/>
          <w:szCs w:val="24"/>
          <w:highlight w:val="none"/>
          <w:shd w:val="clear" w:color="FFFFFF" w:fill="FFFFFF"/>
          <w:lang w:eastAsia="zh-CN"/>
        </w:rPr>
        <w:t xml:space="preserve"> </w:t>
      </w:r>
      <w:r>
        <w:rPr>
          <w:rFonts w:hint="default" w:ascii="Times New Roman" w:hAnsi="Times New Roman" w:cs="Times New Roman"/>
          <w:color w:val="auto"/>
          <w:sz w:val="24"/>
          <w:szCs w:val="24"/>
          <w:highlight w:val="none"/>
        </w:rPr>
        <w:t>enterprise pollution emission intensity II (</w:t>
      </w:r>
      <w:r>
        <w:rPr>
          <w:rFonts w:hint="default" w:ascii="Times New Roman" w:hAnsi="Times New Roman" w:cs="Times New Roman"/>
          <w:i/>
          <w:iCs/>
          <w:color w:val="auto"/>
          <w:sz w:val="24"/>
          <w:szCs w:val="24"/>
          <w:highlight w:val="none"/>
        </w:rPr>
        <w:t>AirP</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shd w:val="clear" w:color="FFFFFF" w:fill="FFFFFF"/>
        </w:rPr>
        <w:t>, which</w:t>
      </w:r>
      <w:r>
        <w:rPr>
          <w:rFonts w:hint="default" w:ascii="Times New Roman" w:hAnsi="Times New Roman" w:eastAsia="宋体" w:cs="Times New Roman"/>
          <w:color w:val="auto"/>
          <w:sz w:val="24"/>
          <w:szCs w:val="24"/>
          <w:highlight w:val="none"/>
          <w:shd w:val="clear" w:color="FFFFFF" w:fill="FFFFFF"/>
          <w:lang w:eastAsia="zh-CN"/>
        </w:rPr>
        <w:t xml:space="preserve"> </w:t>
      </w:r>
      <w:r>
        <w:rPr>
          <w:rFonts w:hint="default" w:ascii="Times New Roman" w:hAnsi="Times New Roman" w:cs="Times New Roman"/>
          <w:color w:val="auto"/>
          <w:sz w:val="24"/>
          <w:szCs w:val="24"/>
          <w:highlight w:val="none"/>
          <w:shd w:val="clear" w:color="FFFFFF" w:fill="FFFFFF"/>
        </w:rPr>
        <w:t>serves as the regressand for robustness verification of baseline estimates.</w:t>
      </w:r>
    </w:p>
    <w:p w14:paraId="08D69002">
      <w:pPr>
        <w:spacing w:line="480" w:lineRule="auto"/>
        <w:ind w:left="96"/>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shd w:val="clear" w:color="FFFFFF" w:fill="FFFFFF"/>
        </w:rPr>
        <w:t>The regression results using these two indicators as the explained variable</w:t>
      </w:r>
      <w:r>
        <w:rPr>
          <w:rFonts w:hint="default" w:ascii="Times New Roman" w:hAnsi="Times New Roman" w:cs="Times New Roman"/>
          <w:color w:val="auto"/>
          <w:sz w:val="24"/>
          <w:szCs w:val="24"/>
          <w:highlight w:val="none"/>
        </w:rPr>
        <w:t xml:space="preserve"> for </w:t>
      </w:r>
      <w:r>
        <w:rPr>
          <w:rFonts w:hint="default" w:ascii="Times New Roman" w:hAnsi="Times New Roman" w:cs="Times New Roman"/>
          <w:color w:val="auto"/>
          <w:sz w:val="24"/>
          <w:szCs w:val="24"/>
          <w:highlight w:val="none"/>
          <w:shd w:val="clear" w:color="FFFFFF" w:fill="FFFFFF"/>
          <w:lang w:val="en-US" w:eastAsia="zh-CN"/>
        </w:rPr>
        <w:t>e</w:t>
      </w:r>
      <w:r>
        <w:rPr>
          <w:rFonts w:hint="default" w:ascii="Times New Roman" w:hAnsi="Times New Roman" w:eastAsia="Times New Roman" w:cs="Times New Roman"/>
          <w:color w:val="auto"/>
          <w:sz w:val="24"/>
          <w:szCs w:val="24"/>
          <w:highlight w:val="none"/>
          <w:shd w:val="clear" w:color="FFFFFF" w:fill="FFFFFF"/>
          <w:lang w:val="en-US" w:eastAsia="zh-CN"/>
        </w:rPr>
        <w:t xml:space="preserve">nterprise </w:t>
      </w:r>
      <w:r>
        <w:rPr>
          <w:rFonts w:hint="default" w:ascii="Times New Roman" w:hAnsi="Times New Roman" w:eastAsia="Times New Roman" w:cs="Times New Roman"/>
          <w:color w:val="auto"/>
          <w:sz w:val="24"/>
          <w:szCs w:val="24"/>
          <w:highlight w:val="none"/>
          <w:lang w:val="en-US" w:eastAsia="zh-CN"/>
        </w:rPr>
        <w:t>pollution emission intensity</w:t>
      </w:r>
      <w:r>
        <w:rPr>
          <w:rFonts w:hint="default" w:ascii="Times New Roman" w:hAnsi="Times New Roman" w:cs="Times New Roman"/>
          <w:color w:val="auto"/>
          <w:sz w:val="24"/>
          <w:szCs w:val="24"/>
          <w:highlight w:val="none"/>
        </w:rPr>
        <w:t xml:space="preserve"> are shown in columns (1) and (2) of Table </w:t>
      </w:r>
      <w:r>
        <w:rPr>
          <w:rFonts w:hint="eastAsia" w:eastAsia="宋体" w:cs="Times New Roman"/>
          <w:color w:val="auto"/>
          <w:sz w:val="24"/>
          <w:szCs w:val="24"/>
          <w:highlight w:val="none"/>
          <w:lang w:val="en-US" w:eastAsia="zh-CN"/>
        </w:rPr>
        <w:t>S1</w:t>
      </w:r>
      <w:r>
        <w:rPr>
          <w:rFonts w:hint="default" w:ascii="Times New Roman" w:hAnsi="Times New Roman" w:eastAsia="宋体" w:cs="Times New Roman"/>
          <w:color w:val="auto"/>
          <w:sz w:val="24"/>
          <w:szCs w:val="24"/>
          <w:highlight w:val="none"/>
          <w:lang w:eastAsia="zh-CN"/>
        </w:rPr>
        <w:t xml:space="preserve">. </w:t>
      </w:r>
      <w:r>
        <w:rPr>
          <w:rFonts w:hint="default" w:ascii="Times New Roman" w:hAnsi="Times New Roman" w:cs="Times New Roman"/>
          <w:color w:val="auto"/>
          <w:sz w:val="24"/>
          <w:szCs w:val="24"/>
          <w:highlight w:val="none"/>
          <w:shd w:val="clear" w:color="FFFFFF" w:fill="FFFFFF"/>
        </w:rPr>
        <w:t>The estimated parameters exhibit statistical significance at the 1 percent level, confirming the stability of findings when employing substitute operationalizations of the regressand.</w:t>
      </w:r>
    </w:p>
    <w:p w14:paraId="6B17F97E">
      <w:pPr>
        <w:spacing w:line="480" w:lineRule="auto"/>
        <w:jc w:val="both"/>
        <w:rPr>
          <w:rFonts w:hint="default" w:ascii="Times New Roman" w:hAnsi="Times New Roman" w:cs="Times New Roman"/>
          <w:b/>
          <w:bCs/>
          <w:i/>
          <w:iCs/>
          <w:color w:val="auto"/>
          <w:sz w:val="24"/>
          <w:szCs w:val="24"/>
          <w:highlight w:val="none"/>
          <w:shd w:val="clear" w:color="FFFFFF" w:fill="FFFFFF"/>
        </w:rPr>
      </w:pPr>
      <w:r>
        <w:rPr>
          <w:rFonts w:hint="default" w:ascii="Times New Roman" w:hAnsi="Times New Roman" w:cs="Times New Roman"/>
          <w:b/>
          <w:bCs/>
          <w:i/>
          <w:iCs/>
          <w:color w:val="auto"/>
          <w:sz w:val="24"/>
          <w:szCs w:val="24"/>
          <w:highlight w:val="none"/>
          <w:shd w:val="clear" w:color="FFFFFF" w:fill="FFFFFF"/>
        </w:rPr>
        <w:t>2 Remeasurement of the Core Explanatory Variable</w:t>
      </w:r>
    </w:p>
    <w:p w14:paraId="18DD1249">
      <w:pPr>
        <w:spacing w:line="480" w:lineRule="auto"/>
        <w:jc w:val="both"/>
        <w:rPr>
          <w:rFonts w:hint="default" w:ascii="Times New Roman" w:hAnsi="Times New Roman" w:cs="Times New Roman"/>
          <w:color w:val="auto"/>
          <w:sz w:val="24"/>
          <w:szCs w:val="24"/>
          <w:highlight w:val="none"/>
          <w:shd w:val="clear" w:color="FFFFFF" w:fill="FFFFFF"/>
        </w:rPr>
      </w:pPr>
      <w:r>
        <w:rPr>
          <w:rFonts w:hint="default" w:ascii="Times New Roman" w:hAnsi="Times New Roman" w:cs="Times New Roman"/>
          <w:color w:val="auto"/>
          <w:sz w:val="24"/>
          <w:szCs w:val="24"/>
          <w:highlight w:val="none"/>
          <w:shd w:val="clear" w:color="FFFFFF" w:fill="FFFFFF"/>
        </w:rPr>
        <w:t>Based on the volume of AI patent grants, a measure widely adopted in empirical research, this study reconceptualizes the measurement of AI penetration. Specifically, guided by the "AI Technology Patent Classification System Table" outlined in the "Key Digital Technology Patent Classification System (2023)" published by China's National Intellectual Property Administration (SIPO), and utilizing the associated International Patent Classification (IPC) codes, this study identifies, filters, and aggregates the annual number of granted AI invention patents and AI utility model patents for each enterprise. The natural logarithm of this aggregate count (</w:t>
      </w:r>
      <w:r>
        <w:rPr>
          <w:rFonts w:hint="default" w:ascii="Times New Roman" w:hAnsi="Times New Roman" w:cs="Times New Roman"/>
          <w:i/>
          <w:iCs/>
          <w:color w:val="auto"/>
          <w:sz w:val="24"/>
          <w:szCs w:val="24"/>
          <w:highlight w:val="none"/>
          <w:shd w:val="clear" w:color="FFFFFF" w:fill="FFFFFF"/>
        </w:rPr>
        <w:t>lnPatents</w:t>
      </w:r>
      <w:r>
        <w:rPr>
          <w:rFonts w:hint="default" w:ascii="Times New Roman" w:hAnsi="Times New Roman" w:cs="Times New Roman"/>
          <w:color w:val="auto"/>
          <w:sz w:val="24"/>
          <w:szCs w:val="24"/>
          <w:highlight w:val="none"/>
          <w:shd w:val="clear" w:color="FFFFFF" w:fill="FFFFFF"/>
        </w:rPr>
        <w:t xml:space="preserve">) is then computed and employed as an alternative proxy to reassess the degree of AI penetration. As shown in </w:t>
      </w:r>
      <w:r>
        <w:rPr>
          <w:rFonts w:hint="default" w:ascii="Times New Roman" w:hAnsi="Times New Roman" w:eastAsia="宋体" w:cs="Times New Roman"/>
          <w:color w:val="auto"/>
          <w:sz w:val="24"/>
          <w:szCs w:val="24"/>
          <w:highlight w:val="none"/>
          <w:shd w:val="clear" w:color="FFFFFF" w:fill="FFFFFF"/>
          <w:lang w:val="en-US" w:eastAsia="zh-CN"/>
        </w:rPr>
        <w:t>c</w:t>
      </w:r>
      <w:r>
        <w:rPr>
          <w:rFonts w:hint="default" w:ascii="Times New Roman" w:hAnsi="Times New Roman" w:cs="Times New Roman"/>
          <w:color w:val="auto"/>
          <w:sz w:val="24"/>
          <w:szCs w:val="24"/>
          <w:highlight w:val="none"/>
          <w:shd w:val="clear" w:color="FFFFFF" w:fill="FFFFFF"/>
        </w:rPr>
        <w:t xml:space="preserve">olumn (3) of Table </w:t>
      </w:r>
      <w:r>
        <w:rPr>
          <w:rFonts w:hint="eastAsia" w:eastAsia="宋体" w:cs="Times New Roman"/>
          <w:color w:val="auto"/>
          <w:sz w:val="24"/>
          <w:szCs w:val="24"/>
          <w:highlight w:val="none"/>
          <w:shd w:val="clear" w:color="FFFFFF" w:fill="FFFFFF"/>
          <w:lang w:val="en-US" w:eastAsia="zh-CN"/>
        </w:rPr>
        <w:t>S1</w:t>
      </w:r>
      <w:r>
        <w:rPr>
          <w:rFonts w:hint="default" w:ascii="Times New Roman" w:hAnsi="Times New Roman" w:cs="Times New Roman"/>
          <w:color w:val="auto"/>
          <w:sz w:val="24"/>
          <w:szCs w:val="24"/>
          <w:highlight w:val="none"/>
          <w:shd w:val="clear" w:color="FFFFFF" w:fill="FFFFFF"/>
        </w:rPr>
        <w:t>, the regression coefficient remains significantly negative, confirming the robustness of this study's core findings.</w:t>
      </w:r>
    </w:p>
    <w:p w14:paraId="18FF39B3">
      <w:pPr>
        <w:shd w:val="solid" w:color="FFFFFF" w:fill="auto"/>
        <w:autoSpaceDN w:val="0"/>
        <w:spacing w:before="180" w:line="480" w:lineRule="auto"/>
        <w:rPr>
          <w:rFonts w:hint="default" w:ascii="Times New Roman" w:hAnsi="Times New Roman" w:cs="Times New Roman"/>
          <w:b/>
          <w:bCs/>
          <w:i/>
          <w:iCs/>
          <w:color w:val="auto"/>
          <w:sz w:val="24"/>
          <w:szCs w:val="24"/>
          <w:highlight w:val="none"/>
          <w:shd w:val="clear" w:color="FFFFFF" w:fill="FFFFFF"/>
        </w:rPr>
      </w:pPr>
      <w:r>
        <w:rPr>
          <w:rFonts w:hint="eastAsia" w:eastAsia="宋体" w:cs="Times New Roman"/>
          <w:b/>
          <w:bCs/>
          <w:i/>
          <w:iCs/>
          <w:color w:val="auto"/>
          <w:sz w:val="24"/>
          <w:szCs w:val="24"/>
          <w:highlight w:val="none"/>
          <w:shd w:val="clear" w:color="auto" w:fill="FFFFFF"/>
          <w:lang w:val="en-US" w:eastAsia="zh-CN"/>
        </w:rPr>
        <w:t>3</w:t>
      </w:r>
      <w:r>
        <w:rPr>
          <w:rFonts w:hint="default" w:ascii="Times New Roman" w:hAnsi="Times New Roman" w:cs="Times New Roman"/>
          <w:b/>
          <w:bCs/>
          <w:i/>
          <w:iCs/>
          <w:color w:val="auto"/>
          <w:sz w:val="24"/>
          <w:szCs w:val="24"/>
          <w:highlight w:val="none"/>
          <w:shd w:val="clear" w:color="auto" w:fill="FFFFFF"/>
        </w:rPr>
        <w:t xml:space="preserve"> </w:t>
      </w:r>
      <w:r>
        <w:rPr>
          <w:rFonts w:hint="default" w:ascii="Times New Roman" w:hAnsi="Times New Roman" w:cs="Times New Roman"/>
          <w:b/>
          <w:bCs/>
          <w:i/>
          <w:iCs/>
          <w:color w:val="auto"/>
          <w:sz w:val="24"/>
          <w:szCs w:val="24"/>
          <w:highlight w:val="none"/>
          <w:shd w:val="clear" w:color="FFFFFF" w:fill="FFFFFF"/>
          <w:lang w:eastAsia="zh-CN"/>
        </w:rPr>
        <w:t>Adding</w:t>
      </w:r>
      <w:r>
        <w:rPr>
          <w:rFonts w:hint="default" w:ascii="Times New Roman" w:hAnsi="Times New Roman" w:cs="Times New Roman"/>
          <w:b/>
          <w:bCs/>
          <w:i/>
          <w:iCs/>
          <w:color w:val="auto"/>
          <w:sz w:val="24"/>
          <w:szCs w:val="24"/>
          <w:highlight w:val="none"/>
          <w:shd w:val="clear" w:color="FFFFFF" w:fill="FFFFFF"/>
          <w:lang w:val="en-US" w:eastAsia="zh-CN"/>
        </w:rPr>
        <w:t xml:space="preserve"> </w:t>
      </w:r>
      <w:r>
        <w:rPr>
          <w:rFonts w:hint="eastAsia" w:ascii="Times New Roman" w:hAnsi="Times New Roman" w:cs="Times New Roman"/>
          <w:b/>
          <w:bCs/>
          <w:i/>
          <w:iCs/>
          <w:color w:val="auto"/>
          <w:sz w:val="24"/>
          <w:szCs w:val="24"/>
          <w:highlight w:val="none"/>
          <w:shd w:val="clear" w:color="FFFFFF" w:fill="FFFFFF"/>
          <w:lang w:val="en-US" w:eastAsia="zh-CN"/>
        </w:rPr>
        <w:t>F</w:t>
      </w:r>
      <w:r>
        <w:rPr>
          <w:rFonts w:hint="default" w:ascii="Times New Roman" w:hAnsi="Times New Roman" w:cs="Times New Roman"/>
          <w:b/>
          <w:bCs/>
          <w:i/>
          <w:iCs/>
          <w:color w:val="auto"/>
          <w:sz w:val="24"/>
          <w:szCs w:val="24"/>
          <w:highlight w:val="none"/>
          <w:shd w:val="clear" w:color="FFFFFF" w:fill="FFFFFF"/>
          <w:lang w:eastAsia="zh-CN"/>
        </w:rPr>
        <w:t xml:space="preserve">ixed </w:t>
      </w:r>
      <w:r>
        <w:rPr>
          <w:rFonts w:hint="eastAsia" w:cs="Times New Roman"/>
          <w:b/>
          <w:bCs/>
          <w:i/>
          <w:iCs/>
          <w:color w:val="auto"/>
          <w:sz w:val="24"/>
          <w:szCs w:val="24"/>
          <w:highlight w:val="none"/>
          <w:shd w:val="clear" w:color="FFFFFF" w:fill="FFFFFF"/>
          <w:lang w:val="en-US" w:eastAsia="zh-CN"/>
        </w:rPr>
        <w:t>E</w:t>
      </w:r>
      <w:r>
        <w:rPr>
          <w:rFonts w:hint="default" w:ascii="Times New Roman" w:hAnsi="Times New Roman" w:cs="Times New Roman"/>
          <w:b/>
          <w:bCs/>
          <w:i/>
          <w:iCs/>
          <w:color w:val="auto"/>
          <w:sz w:val="24"/>
          <w:szCs w:val="24"/>
          <w:highlight w:val="none"/>
          <w:shd w:val="clear" w:color="FFFFFF" w:fill="FFFFFF"/>
          <w:lang w:eastAsia="zh-CN"/>
        </w:rPr>
        <w:t>ffects</w:t>
      </w:r>
    </w:p>
    <w:p w14:paraId="2302D155">
      <w:pPr>
        <w:shd w:val="solid" w:color="FFFFFF" w:fill="auto"/>
        <w:autoSpaceDN w:val="0"/>
        <w:spacing w:before="180" w:line="480" w:lineRule="auto"/>
        <w:rPr>
          <w:rFonts w:hint="default" w:ascii="Times New Roman" w:hAnsi="Times New Roman" w:cs="Times New Roman"/>
          <w:color w:val="auto"/>
          <w:sz w:val="24"/>
          <w:szCs w:val="24"/>
          <w:highlight w:val="none"/>
          <w:shd w:val="clear" w:color="FFFFFF" w:fill="FFFFFF"/>
        </w:rPr>
      </w:pPr>
      <w:r>
        <w:rPr>
          <w:rFonts w:hint="eastAsia" w:ascii="Times New Roman" w:hAnsi="Times New Roman" w:eastAsia="宋体" w:cs="Times New Roman"/>
          <w:b/>
          <w:bCs/>
          <w:i/>
          <w:iCs/>
          <w:color w:val="auto"/>
          <w:sz w:val="24"/>
          <w:szCs w:val="24"/>
          <w:highlight w:val="none"/>
          <w:shd w:val="clear" w:color="FFFFFF" w:fill="FFFFFF"/>
          <w:lang w:val="en-US" w:eastAsia="zh-CN"/>
        </w:rPr>
        <w:t xml:space="preserve"> </w:t>
      </w:r>
      <w:r>
        <w:rPr>
          <w:rFonts w:hint="default" w:ascii="Times New Roman" w:hAnsi="Times New Roman" w:eastAsia="宋体" w:cs="Times New Roman"/>
          <w:color w:val="auto"/>
          <w:sz w:val="24"/>
          <w:szCs w:val="24"/>
          <w:highlight w:val="none"/>
          <w:shd w:val="clear" w:color="FFFFFF" w:fill="FFFFFF"/>
          <w:lang w:val="en-US" w:eastAsia="zh-CN"/>
        </w:rPr>
        <w:t>T</w:t>
      </w:r>
      <w:r>
        <w:rPr>
          <w:rFonts w:hint="default" w:ascii="Times New Roman" w:hAnsi="Times New Roman" w:cs="Times New Roman"/>
          <w:color w:val="auto"/>
          <w:sz w:val="24"/>
          <w:szCs w:val="24"/>
          <w:highlight w:val="none"/>
        </w:rPr>
        <w:t xml:space="preserve">he benchmark model may lead to biased estimates </w:t>
      </w:r>
      <w:r>
        <w:rPr>
          <w:rFonts w:hint="default" w:ascii="Times New Roman" w:hAnsi="Times New Roman" w:cs="Times New Roman"/>
          <w:color w:val="auto"/>
          <w:sz w:val="24"/>
          <w:szCs w:val="24"/>
          <w:highlight w:val="none"/>
          <w:shd w:val="clear" w:color="FFFFFF" w:fill="FFFFFF"/>
        </w:rPr>
        <w:t>due to the omission of other factors that affect the explanatory and explained variables</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color w:val="auto"/>
          <w:sz w:val="24"/>
          <w:szCs w:val="24"/>
          <w:highlight w:val="none"/>
          <w:shd w:val="clear" w:color="FFFFFF" w:fill="FFFFFF"/>
        </w:rPr>
        <w:t xml:space="preserve">Drawing on </w:t>
      </w:r>
      <w:r>
        <w:rPr>
          <w:rFonts w:hint="default" w:ascii="Times New Roman" w:hAnsi="Times New Roman" w:cs="Times New Roman" w:eastAsiaTheme="minorEastAsia"/>
          <w:color w:val="auto"/>
          <w:kern w:val="0"/>
          <w:sz w:val="24"/>
          <w:szCs w:val="24"/>
          <w:highlight w:val="none"/>
          <w:u w:val="none"/>
          <w:lang w:val="en-US" w:eastAsia="zh-CN"/>
        </w:rPr>
        <w:fldChar w:fldCharType="begin"/>
      </w:r>
      <w:r>
        <w:rPr>
          <w:rFonts w:hint="default" w:ascii="Times New Roman" w:hAnsi="Times New Roman" w:cs="Times New Roman" w:eastAsiaTheme="minorEastAsia"/>
          <w:color w:val="auto"/>
          <w:kern w:val="0"/>
          <w:sz w:val="24"/>
          <w:szCs w:val="24"/>
          <w:highlight w:val="none"/>
          <w:u w:val="none"/>
          <w:lang w:val="en-US" w:eastAsia="zh-CN"/>
        </w:rPr>
        <w:instrText xml:space="preserve"> ADDIN ZOTERO_ITEM CSL_CITATION {"citationID":"CNnCrca3","properties":{"formattedCitation":"(Shang et al., 2024)","plainCitation":"(Shang et al., 2024)","dontUpdate":true,"noteIndex":0},"citationItems":[{"id":424,"uris":["http://zotero.org/users/18415966/items/WKU46KRG"],"itemData":{"id":424,"type":"article-journal","abstract":"The progress of artificial intelligence (AI) technology is an important way to solve the problem of global sustainable development. This paper discusses how AI, as a new scientific force, affects the pollution reduction of enterprises from a micro perspective. In this paper, the robot data provided by the International Federation of Robotics and pollution data of industrial enterprises in China are used for empirical analysis to test the effect of AI on pollution performance of enterprises. The results show that the application of AI can reduce enterprise emissions through technological innovation effect and labor substitution effect, and this result remains robust after sample substitution and variable substitution. Further heterogeneity analysis shows that AI has a more significant impact on enterprises in big cities and southern cities, as well as large enterprises, old enterprises and non-technology-intensive enterprises. The research results of this paper provide an effective reference for solving how to achieve green and sustainable development of artificial intelligence applications.","container-title":"Gondwana Research","DOI":"10.1016/j.gr.2024.02.012","ISSN":"1342-937X","journalAbbreviation":"Gondwana Research","page":"181-195","source":"ScienceDirect","title":"The impact of artificial intelligence application on enterprise environmental performance: Evidence from microenterprises","title-short":"The impact of artificial intelligence application on enterprise environmental performance","volume":"131","author":[{"family":"Shang","given":"Yuping"},{"family":"Zhou","given":"Silu"},{"family":"Zhuang","given":"Delin"},{"family":"Żywiołek","given":"Justyna"},{"family":"Dincer","given":"Hasan"}],"issued":{"date-parts":[["2024",7,1]]}}}],"schema":"https://github.com/citation-style-language/schema/raw/master/csl-citation.json"} </w:instrText>
      </w:r>
      <w:r>
        <w:rPr>
          <w:rFonts w:hint="default" w:ascii="Times New Roman" w:hAnsi="Times New Roman" w:cs="Times New Roman" w:eastAsiaTheme="minorEastAsia"/>
          <w:color w:val="auto"/>
          <w:kern w:val="0"/>
          <w:sz w:val="24"/>
          <w:szCs w:val="24"/>
          <w:highlight w:val="none"/>
          <w:u w:val="none"/>
          <w:lang w:val="en-US" w:eastAsia="zh-CN"/>
        </w:rPr>
        <w:fldChar w:fldCharType="separate"/>
      </w:r>
      <w:r>
        <w:rPr>
          <w:rFonts w:hint="default" w:ascii="Times New Roman" w:hAnsi="Times New Roman" w:cs="Times New Roman" w:eastAsiaTheme="minorEastAsia"/>
          <w:color w:val="auto"/>
          <w:sz w:val="24"/>
          <w:szCs w:val="24"/>
          <w:highlight w:val="none"/>
          <w:lang w:eastAsia="zh-CN"/>
        </w:rPr>
        <w:t xml:space="preserve">Shang et al. </w:t>
      </w:r>
      <w:r>
        <w:rPr>
          <w:rFonts w:hint="default" w:ascii="Times New Roman" w:hAnsi="Times New Roman" w:cs="Times New Roman" w:eastAsiaTheme="minorEastAsia"/>
          <w:color w:val="auto"/>
          <w:sz w:val="24"/>
          <w:szCs w:val="24"/>
          <w:highlight w:val="none"/>
          <w:lang w:val="en-US" w:eastAsia="zh-CN"/>
        </w:rPr>
        <w:t>(</w:t>
      </w:r>
      <w:r>
        <w:rPr>
          <w:rFonts w:hint="default" w:ascii="Times New Roman" w:hAnsi="Times New Roman" w:cs="Times New Roman" w:eastAsiaTheme="minorEastAsia"/>
          <w:color w:val="auto"/>
          <w:sz w:val="24"/>
          <w:szCs w:val="24"/>
          <w:highlight w:val="none"/>
          <w:lang w:eastAsia="zh-CN"/>
        </w:rPr>
        <w:t>2024)</w:t>
      </w:r>
      <w:r>
        <w:rPr>
          <w:rFonts w:hint="default" w:ascii="Times New Roman" w:hAnsi="Times New Roman" w:cs="Times New Roman" w:eastAsiaTheme="minorEastAsia"/>
          <w:color w:val="auto"/>
          <w:kern w:val="0"/>
          <w:sz w:val="24"/>
          <w:szCs w:val="24"/>
          <w:highlight w:val="none"/>
          <w:u w:val="none"/>
          <w:lang w:val="en-US" w:eastAsia="zh-CN"/>
        </w:rPr>
        <w:fldChar w:fldCharType="end"/>
      </w:r>
      <w:r>
        <w:rPr>
          <w:rFonts w:hint="default" w:ascii="Times New Roman" w:hAnsi="Times New Roman" w:cs="Times New Roman"/>
          <w:color w:val="auto"/>
          <w:sz w:val="24"/>
          <w:szCs w:val="24"/>
          <w:highlight w:val="none"/>
          <w:shd w:val="clear" w:color="FFFFFF" w:fill="FFFFFF"/>
        </w:rPr>
        <w:t>, higher-order fixed effects</w:t>
      </w:r>
      <w:r>
        <w:rPr>
          <w:rFonts w:hint="default" w:ascii="Times New Roman" w:hAnsi="Times New Roman" w:cs="Times New Roman"/>
          <w:color w:val="auto"/>
          <w:sz w:val="24"/>
          <w:szCs w:val="24"/>
          <w:highlight w:val="none"/>
        </w:rPr>
        <w:t xml:space="preserve"> such as</w:t>
      </w:r>
      <w:r>
        <w:rPr>
          <w:rFonts w:hint="default" w:ascii="Times New Roman" w:hAnsi="Times New Roman" w:cs="Times New Roman"/>
          <w:color w:val="auto"/>
          <w:sz w:val="24"/>
          <w:szCs w:val="24"/>
          <w:highlight w:val="none"/>
          <w:shd w:val="clear" w:color="FFFFFF" w:fill="FFFFFF"/>
        </w:rPr>
        <w:t>the analysis incorporates higher-order fixed effects—including</w:t>
      </w:r>
      <w:r>
        <w:rPr>
          <w:rFonts w:hint="default" w:ascii="Times New Roman" w:hAnsi="Times New Roman" w:cs="Times New Roman"/>
          <w:color w:val="auto"/>
          <w:sz w:val="24"/>
          <w:szCs w:val="24"/>
          <w:highlight w:val="none"/>
        </w:rPr>
        <w:t xml:space="preserve"> province, province × year, industry × year, and province × industry × year</w:t>
      </w:r>
      <w:r>
        <w:rPr>
          <w:rFonts w:hint="default" w:ascii="Times New Roman" w:hAnsi="Times New Roman" w:cs="Times New Roman"/>
          <w:color w:val="auto"/>
          <w:sz w:val="24"/>
          <w:szCs w:val="24"/>
          <w:highlight w:val="none"/>
          <w:shd w:val="clear" w:color="FFFFFF" w:fill="FFFFFF"/>
        </w:rPr>
        <w:t xml:space="preserve">—into the baseline model. As shown in columns (4) to (7) of Table </w:t>
      </w:r>
      <w:r>
        <w:rPr>
          <w:rFonts w:hint="eastAsia" w:eastAsia="宋体" w:cs="Times New Roman"/>
          <w:color w:val="auto"/>
          <w:sz w:val="24"/>
          <w:szCs w:val="24"/>
          <w:highlight w:val="none"/>
          <w:shd w:val="clear" w:color="FFFFFF" w:fill="FFFFFF"/>
          <w:lang w:val="en-US" w:eastAsia="zh-CN"/>
        </w:rPr>
        <w:t>S1</w:t>
      </w:r>
      <w:r>
        <w:rPr>
          <w:rFonts w:hint="default" w:ascii="Times New Roman" w:hAnsi="Times New Roman" w:cs="Times New Roman"/>
          <w:color w:val="auto"/>
          <w:sz w:val="24"/>
          <w:szCs w:val="24"/>
          <w:highlight w:val="none"/>
          <w:shd w:val="clear" w:color="FFFFFF" w:fill="FFFFFF"/>
        </w:rPr>
        <w:t xml:space="preserve">, the estimated coefficients for </w:t>
      </w:r>
      <w:r>
        <w:rPr>
          <w:rFonts w:hint="default" w:ascii="Times New Roman" w:hAnsi="Times New Roman" w:cs="Times New Roman"/>
          <w:i/>
          <w:iCs/>
          <w:color w:val="auto"/>
          <w:sz w:val="24"/>
          <w:szCs w:val="24"/>
          <w:highlight w:val="none"/>
          <w:shd w:val="clear" w:color="FFFFFF" w:fill="FFFFFF"/>
          <w:lang w:eastAsia="zh-CN"/>
        </w:rPr>
        <w:t>lnWords</w:t>
      </w:r>
      <w:r>
        <w:rPr>
          <w:rFonts w:hint="default" w:ascii="Times New Roman" w:hAnsi="Times New Roman" w:cs="Times New Roman"/>
          <w:color w:val="auto"/>
          <w:sz w:val="24"/>
          <w:szCs w:val="24"/>
          <w:highlight w:val="none"/>
          <w:shd w:val="clear" w:color="FFFFFF" w:fill="FFFFFF"/>
        </w:rPr>
        <w:t xml:space="preserve"> are consistently negative and statistically significant, further validating the core conclusions.</w:t>
      </w:r>
    </w:p>
    <w:p w14:paraId="066A1D05">
      <w:pPr>
        <w:spacing w:line="480" w:lineRule="auto"/>
        <w:jc w:val="both"/>
        <w:rPr>
          <w:rFonts w:hint="default" w:ascii="Times New Roman" w:hAnsi="Times New Roman" w:cs="Times New Roman"/>
          <w:b/>
          <w:bCs/>
          <w:i/>
          <w:iCs/>
          <w:color w:val="auto"/>
          <w:sz w:val="24"/>
          <w:szCs w:val="24"/>
          <w:highlight w:val="none"/>
          <w:shd w:val="clear" w:color="FFFFFF" w:fill="FFFFFF"/>
        </w:rPr>
      </w:pPr>
      <w:r>
        <w:rPr>
          <w:rFonts w:hint="default" w:ascii="Times New Roman" w:hAnsi="Times New Roman" w:cs="Times New Roman"/>
          <w:b/>
          <w:bCs/>
          <w:i/>
          <w:iCs/>
          <w:color w:val="auto"/>
          <w:sz w:val="24"/>
          <w:szCs w:val="24"/>
          <w:highlight w:val="none"/>
          <w:shd w:val="clear" w:color="auto" w:fill="FFFFFF"/>
        </w:rPr>
        <w:t xml:space="preserve">4 </w:t>
      </w:r>
      <w:r>
        <w:rPr>
          <w:rFonts w:hint="default" w:ascii="Times New Roman" w:hAnsi="Times New Roman" w:cs="Times New Roman"/>
          <w:b/>
          <w:bCs/>
          <w:i/>
          <w:iCs/>
          <w:color w:val="auto"/>
          <w:sz w:val="24"/>
          <w:szCs w:val="24"/>
          <w:highlight w:val="none"/>
          <w:shd w:val="clear" w:color="FFFFFF" w:fill="FFFFFF"/>
        </w:rPr>
        <w:t>Excluding the Influence of Certain Factors</w:t>
      </w:r>
    </w:p>
    <w:p w14:paraId="1934A0A3">
      <w:pPr>
        <w:spacing w:line="480" w:lineRule="auto"/>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shd w:val="clear" w:color="FFFFFF" w:fill="FFFFFF"/>
        </w:rPr>
        <w:t xml:space="preserve">Based on </w:t>
      </w:r>
      <w:r>
        <w:rPr>
          <w:rFonts w:hint="default" w:ascii="Times New Roman" w:hAnsi="Times New Roman" w:cs="Times New Roman" w:eastAsiaTheme="minorEastAsia"/>
          <w:color w:val="auto"/>
          <w:kern w:val="0"/>
          <w:sz w:val="24"/>
          <w:szCs w:val="24"/>
          <w:highlight w:val="none"/>
          <w:u w:val="none"/>
          <w:lang w:val="en-US" w:eastAsia="zh-CN"/>
        </w:rPr>
        <w:fldChar w:fldCharType="begin"/>
      </w:r>
      <w:r>
        <w:rPr>
          <w:rFonts w:hint="default" w:ascii="Times New Roman" w:hAnsi="Times New Roman" w:cs="Times New Roman" w:eastAsiaTheme="minorEastAsia"/>
          <w:color w:val="auto"/>
          <w:kern w:val="0"/>
          <w:sz w:val="24"/>
          <w:szCs w:val="24"/>
          <w:highlight w:val="none"/>
          <w:u w:val="none"/>
          <w:lang w:val="en-US" w:eastAsia="zh-CN"/>
        </w:rPr>
        <w:instrText xml:space="preserve"> ADDIN ZOTERO_ITEM CSL_CITATION {"citationID":"r7LxWnn9","properties":{"formattedCitation":"(Anger and Barker, 2015)","plainCitation":"(Anger and Barker, 2015)","dontUpdate":true,"noteIndex":0},"citationItems":[{"id":514,"uris":["http://zotero.org/users/18415966/items/SEXHRR4M"],"itemData":{"id":514,"type":"chapter","abstract":"The paper considers the links between financial system, economic growth and environmental pollution and damages through: (1) investment in the real economy; and (2) financial instruments for environmental policy. The literature on the effect of finance on pollution is dominated by econometric studies of the effect of financial variables on the Environmental Kuznets Curve. The paper reviews this literature and finds that financial development in general, apart from financial crises, tends to reduce pollution. The paper will explain how financial crises affect the environment through reductions in effective demand, by forcing a switch to earlier technologies, and by encouraging the use of lower-cost, more polluting fuels. The paper explores the causative links between the nature of the recession and the reduction in long-term GDP growth via reductions in the share of investment in GDP. This is followed by an exploration of the necessity of investment and green banking in encouraging environmentally friendly development pathways. It will discuss the problems in modelling the effects of the financial system on the real economy, especially in respect of long-term growth and environmental pollution, with a focus on climate change and the mitigation of climate change.","container-title":"Finance and the Macroeconomics of Environmental Policies","event-place":"London","ISBN":"978-1-137-44613-8","language":"en","note":"DOI: 10.1057/9781137446138_5","page":"153-193","publisher":"Palgrave Macmillan UK","publisher-place":"London","source":"Springer Link","title":"The Effects of the Financial System and Financial Crises on Global Growth and the Environment","URL":"https://doi.org/10.1057/9781137446138_5","author":[{"family":"Anger","given":"Annela"},{"family":"Barker","given":"Terry"}],"editor":[{"family":"Arestis","given":"Philip"},{"family":"Sawyer","given":"Malcolm"}],"accessed":{"date-parts":[["2025",11,10]]},"issued":{"date-parts":[["2015"]]}}}],"schema":"https://github.com/citation-style-language/schema/raw/master/csl-citation.json"} </w:instrText>
      </w:r>
      <w:r>
        <w:rPr>
          <w:rFonts w:hint="default" w:ascii="Times New Roman" w:hAnsi="Times New Roman" w:cs="Times New Roman" w:eastAsiaTheme="minorEastAsia"/>
          <w:color w:val="auto"/>
          <w:kern w:val="0"/>
          <w:sz w:val="24"/>
          <w:szCs w:val="24"/>
          <w:highlight w:val="none"/>
          <w:u w:val="none"/>
          <w:lang w:val="en-US" w:eastAsia="zh-CN"/>
        </w:rPr>
        <w:fldChar w:fldCharType="separate"/>
      </w:r>
      <w:r>
        <w:rPr>
          <w:rFonts w:hint="default" w:ascii="Times New Roman" w:hAnsi="Times New Roman" w:cs="Times New Roman" w:eastAsiaTheme="minorEastAsia"/>
          <w:color w:val="auto"/>
          <w:sz w:val="24"/>
          <w:szCs w:val="24"/>
          <w:highlight w:val="none"/>
          <w:lang w:eastAsia="zh-CN"/>
        </w:rPr>
        <w:t xml:space="preserve">Anger and Barker </w:t>
      </w:r>
      <w:r>
        <w:rPr>
          <w:rFonts w:hint="default" w:ascii="Times New Roman" w:hAnsi="Times New Roman" w:cs="Times New Roman" w:eastAsiaTheme="minorEastAsia"/>
          <w:color w:val="auto"/>
          <w:sz w:val="24"/>
          <w:szCs w:val="24"/>
          <w:highlight w:val="none"/>
          <w:lang w:val="en-US" w:eastAsia="zh-CN"/>
        </w:rPr>
        <w:t>(</w:t>
      </w:r>
      <w:r>
        <w:rPr>
          <w:rFonts w:hint="default" w:ascii="Times New Roman" w:hAnsi="Times New Roman" w:cs="Times New Roman" w:eastAsiaTheme="minorEastAsia"/>
          <w:color w:val="auto"/>
          <w:sz w:val="24"/>
          <w:szCs w:val="24"/>
          <w:highlight w:val="none"/>
          <w:lang w:eastAsia="zh-CN"/>
        </w:rPr>
        <w:t>2015)</w:t>
      </w:r>
      <w:r>
        <w:rPr>
          <w:rFonts w:hint="default" w:ascii="Times New Roman" w:hAnsi="Times New Roman" w:cs="Times New Roman" w:eastAsiaTheme="minorEastAsia"/>
          <w:color w:val="auto"/>
          <w:kern w:val="0"/>
          <w:sz w:val="24"/>
          <w:szCs w:val="24"/>
          <w:highlight w:val="none"/>
          <w:u w:val="none"/>
          <w:lang w:val="en-US" w:eastAsia="zh-CN"/>
        </w:rPr>
        <w:fldChar w:fldCharType="end"/>
      </w:r>
      <w:r>
        <w:rPr>
          <w:rFonts w:hint="default" w:ascii="Times New Roman" w:hAnsi="Times New Roman" w:cs="Times New Roman"/>
          <w:color w:val="auto"/>
          <w:sz w:val="24"/>
          <w:szCs w:val="24"/>
          <w:highlight w:val="none"/>
          <w:shd w:val="clear" w:color="FFFFFF" w:fill="FFFFFF"/>
        </w:rPr>
        <w:t xml:space="preserve"> and </w:t>
      </w:r>
      <w:r>
        <w:rPr>
          <w:rFonts w:hint="default" w:ascii="Times New Roman" w:hAnsi="Times New Roman" w:cs="Times New Roman" w:eastAsiaTheme="minorEastAsia"/>
          <w:color w:val="auto"/>
          <w:kern w:val="0"/>
          <w:sz w:val="24"/>
          <w:szCs w:val="24"/>
          <w:highlight w:val="none"/>
          <w:u w:val="none"/>
          <w:lang w:val="en-US" w:eastAsia="zh-CN"/>
        </w:rPr>
        <w:fldChar w:fldCharType="begin"/>
      </w:r>
      <w:r>
        <w:rPr>
          <w:rFonts w:hint="default" w:ascii="Times New Roman" w:hAnsi="Times New Roman" w:cs="Times New Roman" w:eastAsiaTheme="minorEastAsia"/>
          <w:color w:val="auto"/>
          <w:kern w:val="0"/>
          <w:sz w:val="24"/>
          <w:szCs w:val="24"/>
          <w:highlight w:val="none"/>
          <w:u w:val="none"/>
          <w:lang w:val="en-US" w:eastAsia="zh-CN"/>
        </w:rPr>
        <w:instrText xml:space="preserve"> ADDIN ZOTERO_ITEM CSL_CITATION {"citationID":"7k9x8JMD","properties":{"formattedCitation":"(Venter et al., 2020)","plainCitation":"(Venter et al., 2020)","dontUpdate":true,"noteIndex":0},"citationItems":[{"id":515,"uris":["http://zotero.org/users/18415966/items/M5MUCC79"],"itemData":{"id":515,"type":"article-journal","abstract":"The lockdown response to coronavirus disease 2019 (COVID-19) has caused an unprecedented reduction in global economic and transport activity. We test the hypothesis that this has reduced tropospheric and ground-level air pollution concentrations, using satellite data and a network of &gt;10,000 air quality stations. After accounting for the effects of meteorological variability, we find declines in the population-weighted concentration of ground-level nitrogen dioxide (NO2: 60% with 95% CI 48 to 72%), and fine particulate matter (PM2.5: 31%; 95% CI: 17 to 45%), with marginal increases in ozone (O3: 4%; 95% CI: −2 to 10%) in 34 countries during lockdown dates up until 15 May. Except for ozone, satellite measurements of the troposphere indicate much smaller reductions, highlighting the spatial variability of pollutant anomalies attributable to complex NOx chemistry and long-distance transport of fine particulate matter with a diameter less than 2.5 µm (PM2.5). By leveraging Google and Apple mobility data, we find empirical evidence for a link between global vehicle transportation declines and the reduction of ambient NO2 exposure. While the state of global lockdown is not sustainable, these findings allude to the potential for mitigating public health risk by reducing “business as usual” air pollutant emissions from economic activities. Explore trends here: https://nina.earthengine.app/view/lockdown-pollution.","container-title":"Proceedings of the National Academy of Sciences","DOI":"10.1073/pnas.2006853117","issue":"32","note":"publisher: Proceedings of the National Academy of Sciences","page":"18984-18990","source":"pnas.org (Atypon)","title":"COVID-19 lockdowns cause global air pollution declines","volume":"117","author":[{"family":"Venter","given":"Zander S."},{"family":"Aunan","given":"Kristin"},{"family":"Chowdhury","given":"Sourangsu"},{"family":"Lelieveld","given":"Jos"}],"issued":{"date-parts":[["2020",8,11]]}}}],"schema":"https://github.com/citation-style-language/schema/raw/master/csl-citation.json"} </w:instrText>
      </w:r>
      <w:r>
        <w:rPr>
          <w:rFonts w:hint="default" w:ascii="Times New Roman" w:hAnsi="Times New Roman" w:cs="Times New Roman" w:eastAsiaTheme="minorEastAsia"/>
          <w:color w:val="auto"/>
          <w:kern w:val="0"/>
          <w:sz w:val="24"/>
          <w:szCs w:val="24"/>
          <w:highlight w:val="none"/>
          <w:u w:val="none"/>
          <w:lang w:val="en-US" w:eastAsia="zh-CN"/>
        </w:rPr>
        <w:fldChar w:fldCharType="separate"/>
      </w:r>
      <w:r>
        <w:rPr>
          <w:rFonts w:hint="default" w:ascii="Times New Roman" w:hAnsi="Times New Roman" w:cs="Times New Roman" w:eastAsiaTheme="minorEastAsia"/>
          <w:color w:val="auto"/>
          <w:sz w:val="24"/>
          <w:szCs w:val="24"/>
          <w:highlight w:val="none"/>
          <w:lang w:eastAsia="zh-CN"/>
        </w:rPr>
        <w:t xml:space="preserve">Venter et al. </w:t>
      </w:r>
      <w:r>
        <w:rPr>
          <w:rFonts w:hint="default" w:ascii="Times New Roman" w:hAnsi="Times New Roman" w:cs="Times New Roman" w:eastAsiaTheme="minorEastAsia"/>
          <w:color w:val="auto"/>
          <w:sz w:val="24"/>
          <w:szCs w:val="24"/>
          <w:highlight w:val="none"/>
          <w:lang w:val="en-US" w:eastAsia="zh-CN"/>
        </w:rPr>
        <w:t>(</w:t>
      </w:r>
      <w:r>
        <w:rPr>
          <w:rFonts w:hint="default" w:ascii="Times New Roman" w:hAnsi="Times New Roman" w:cs="Times New Roman" w:eastAsiaTheme="minorEastAsia"/>
          <w:color w:val="auto"/>
          <w:sz w:val="24"/>
          <w:szCs w:val="24"/>
          <w:highlight w:val="none"/>
          <w:lang w:eastAsia="zh-CN"/>
        </w:rPr>
        <w:t>2020)</w:t>
      </w:r>
      <w:r>
        <w:rPr>
          <w:rFonts w:hint="default" w:ascii="Times New Roman" w:hAnsi="Times New Roman" w:cs="Times New Roman" w:eastAsiaTheme="minorEastAsia"/>
          <w:color w:val="auto"/>
          <w:kern w:val="0"/>
          <w:sz w:val="24"/>
          <w:szCs w:val="24"/>
          <w:highlight w:val="none"/>
          <w:u w:val="none"/>
          <w:lang w:val="en-US" w:eastAsia="zh-CN"/>
        </w:rPr>
        <w:fldChar w:fldCharType="end"/>
      </w:r>
      <w:r>
        <w:rPr>
          <w:rFonts w:hint="default" w:ascii="Times New Roman" w:hAnsi="Times New Roman" w:cs="Times New Roman"/>
          <w:color w:val="auto"/>
          <w:sz w:val="24"/>
          <w:szCs w:val="24"/>
          <w:highlight w:val="none"/>
          <w:shd w:val="clear" w:color="FFFFFF" w:fill="FFFFFF"/>
        </w:rPr>
        <w:t xml:space="preserve">, major exogenous shocks, such as the global economic crisis, domestic stock market crashes, </w:t>
      </w:r>
      <w:r>
        <w:rPr>
          <w:rFonts w:hint="default" w:ascii="Times New Roman" w:hAnsi="Times New Roman" w:cs="Times New Roman"/>
          <w:color w:val="auto"/>
          <w:sz w:val="24"/>
          <w:szCs w:val="24"/>
          <w:highlight w:val="none"/>
        </w:rPr>
        <w:t>and COVID-19 pandemic</w:t>
      </w:r>
      <w:r>
        <w:rPr>
          <w:rFonts w:hint="default" w:ascii="Times New Roman" w:hAnsi="Times New Roman" w:cs="Times New Roman"/>
          <w:color w:val="auto"/>
          <w:sz w:val="24"/>
          <w:szCs w:val="24"/>
          <w:highlight w:val="none"/>
          <w:shd w:val="clear" w:color="FFFFFF" w:fill="FFFFFF"/>
        </w:rPr>
        <w:t>, may affect enterprise pollutant emission reduction. If these macro factors are ignored when studying AI’s pollution reduction effect, endogeneity problems may result, which could cause biased estimations of AI’s impact. Therefore, the enterprise sample data from 2008, 2015, and 2020 are excluded, and the regressions are performed again. As shown in columns (</w:t>
      </w:r>
      <w:r>
        <w:rPr>
          <w:rFonts w:hint="default" w:ascii="Times New Roman" w:hAnsi="Times New Roman" w:eastAsia="宋体" w:cs="Times New Roman"/>
          <w:color w:val="auto"/>
          <w:sz w:val="24"/>
          <w:szCs w:val="24"/>
          <w:highlight w:val="none"/>
          <w:shd w:val="clear" w:color="FFFFFF" w:fill="FFFFFF"/>
          <w:lang w:val="en-US" w:eastAsia="zh-CN"/>
        </w:rPr>
        <w:t>8</w:t>
      </w:r>
      <w:r>
        <w:rPr>
          <w:rFonts w:hint="default" w:ascii="Times New Roman" w:hAnsi="Times New Roman" w:cs="Times New Roman"/>
          <w:color w:val="auto"/>
          <w:sz w:val="24"/>
          <w:szCs w:val="24"/>
          <w:highlight w:val="none"/>
          <w:shd w:val="clear" w:color="FFFFFF" w:fill="FFFFFF"/>
        </w:rPr>
        <w:t>) to (</w:t>
      </w:r>
      <w:r>
        <w:rPr>
          <w:rFonts w:hint="default" w:ascii="Times New Roman" w:hAnsi="Times New Roman" w:eastAsia="宋体" w:cs="Times New Roman"/>
          <w:color w:val="auto"/>
          <w:sz w:val="24"/>
          <w:szCs w:val="24"/>
          <w:highlight w:val="none"/>
          <w:shd w:val="clear" w:color="FFFFFF" w:fill="FFFFFF"/>
          <w:lang w:val="en-US" w:eastAsia="zh-CN"/>
        </w:rPr>
        <w:t>10</w:t>
      </w:r>
      <w:r>
        <w:rPr>
          <w:rFonts w:hint="default" w:ascii="Times New Roman" w:hAnsi="Times New Roman" w:cs="Times New Roman"/>
          <w:color w:val="auto"/>
          <w:sz w:val="24"/>
          <w:szCs w:val="24"/>
          <w:highlight w:val="none"/>
          <w:shd w:val="clear" w:color="FFFFFF" w:fill="FFFFFF"/>
        </w:rPr>
        <w:t xml:space="preserve">) of Table </w:t>
      </w:r>
      <w:r>
        <w:rPr>
          <w:rFonts w:hint="eastAsia" w:eastAsia="宋体" w:cs="Times New Roman"/>
          <w:color w:val="auto"/>
          <w:sz w:val="24"/>
          <w:szCs w:val="24"/>
          <w:highlight w:val="none"/>
          <w:shd w:val="clear" w:color="FFFFFF" w:fill="FFFFFF"/>
          <w:lang w:val="en-US" w:eastAsia="zh-CN"/>
        </w:rPr>
        <w:t>S1</w:t>
      </w:r>
      <w:r>
        <w:rPr>
          <w:rFonts w:hint="default" w:ascii="Times New Roman" w:hAnsi="Times New Roman" w:cs="Times New Roman"/>
          <w:color w:val="auto"/>
          <w:sz w:val="24"/>
          <w:szCs w:val="24"/>
          <w:highlight w:val="none"/>
          <w:shd w:val="clear" w:color="FFFFFF" w:fill="FFFFFF"/>
        </w:rPr>
        <w:t>, the conclusion that the degree of</w:t>
      </w:r>
      <w:r>
        <w:rPr>
          <w:rFonts w:hint="default" w:ascii="Times New Roman" w:hAnsi="Times New Roman" w:eastAsia="宋体" w:cs="Times New Roman"/>
          <w:color w:val="auto"/>
          <w:sz w:val="24"/>
          <w:szCs w:val="24"/>
          <w:highlight w:val="none"/>
          <w:shd w:val="clear" w:color="FFFFFF" w:fill="FFFFFF"/>
          <w:lang w:val="en-US" w:eastAsia="zh-CN"/>
        </w:rPr>
        <w:t xml:space="preserve"> </w:t>
      </w:r>
      <w:r>
        <w:rPr>
          <w:rFonts w:hint="default" w:ascii="Times New Roman" w:hAnsi="Times New Roman" w:cs="Times New Roman"/>
          <w:color w:val="auto"/>
          <w:sz w:val="24"/>
          <w:szCs w:val="24"/>
          <w:highlight w:val="none"/>
          <w:shd w:val="clear" w:color="FFFFFF" w:fill="FFFFFF"/>
        </w:rPr>
        <w:t>AI penetration</w:t>
      </w:r>
      <w:r>
        <w:rPr>
          <w:rFonts w:hint="default" w:ascii="Times New Roman" w:hAnsi="Times New Roman" w:eastAsia="宋体" w:cs="Times New Roman"/>
          <w:color w:val="auto"/>
          <w:sz w:val="24"/>
          <w:szCs w:val="24"/>
          <w:highlight w:val="none"/>
          <w:shd w:val="clear" w:color="FFFFFF" w:fill="FFFFFF"/>
          <w:lang w:val="en-US" w:eastAsia="zh-CN"/>
        </w:rPr>
        <w:t xml:space="preserve"> </w:t>
      </w:r>
      <w:r>
        <w:rPr>
          <w:rFonts w:hint="default" w:ascii="Times New Roman" w:hAnsi="Times New Roman" w:cs="Times New Roman"/>
          <w:color w:val="auto"/>
          <w:sz w:val="24"/>
          <w:szCs w:val="24"/>
          <w:highlight w:val="none"/>
          <w:shd w:val="clear" w:color="FFFFFF" w:fill="FFFFFF"/>
        </w:rPr>
        <w:t xml:space="preserve">reduce </w:t>
      </w:r>
      <w:r>
        <w:rPr>
          <w:rFonts w:hint="default" w:ascii="Times New Roman" w:hAnsi="Times New Roman" w:cs="Times New Roman"/>
          <w:color w:val="auto"/>
          <w:sz w:val="24"/>
          <w:szCs w:val="24"/>
          <w:highlight w:val="none"/>
          <w:shd w:val="clear" w:color="FFFFFF" w:fill="FFFFFF"/>
          <w:lang w:val="en-US" w:eastAsia="zh-CN"/>
        </w:rPr>
        <w:t>e</w:t>
      </w:r>
      <w:r>
        <w:rPr>
          <w:rFonts w:hint="default" w:ascii="Times New Roman" w:hAnsi="Times New Roman" w:eastAsia="Times New Roman" w:cs="Times New Roman"/>
          <w:color w:val="auto"/>
          <w:sz w:val="24"/>
          <w:szCs w:val="24"/>
          <w:highlight w:val="none"/>
          <w:shd w:val="clear" w:color="FFFFFF" w:fill="FFFFFF"/>
          <w:lang w:val="en-US" w:eastAsia="zh-CN"/>
        </w:rPr>
        <w:t xml:space="preserve">nterprise </w:t>
      </w:r>
      <w:r>
        <w:rPr>
          <w:rFonts w:hint="default" w:ascii="Times New Roman" w:hAnsi="Times New Roman" w:eastAsia="Times New Roman" w:cs="Times New Roman"/>
          <w:color w:val="auto"/>
          <w:sz w:val="24"/>
          <w:szCs w:val="24"/>
          <w:highlight w:val="none"/>
          <w:lang w:val="en-US" w:eastAsia="zh-CN"/>
        </w:rPr>
        <w:t>pollution emission intensity</w:t>
      </w:r>
      <w:r>
        <w:rPr>
          <w:rFonts w:hint="default" w:ascii="Times New Roman" w:hAnsi="Times New Roman" w:cs="Times New Roman"/>
          <w:color w:val="auto"/>
          <w:sz w:val="24"/>
          <w:szCs w:val="24"/>
          <w:highlight w:val="none"/>
          <w:shd w:val="clear" w:color="FFFFFF" w:fill="FFFFFF"/>
        </w:rPr>
        <w:t xml:space="preserve"> has not changed.</w:t>
      </w:r>
    </w:p>
    <w:p w14:paraId="07723C32">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Table </w:t>
      </w:r>
      <w:r>
        <w:rPr>
          <w:rFonts w:hint="eastAsia" w:eastAsia="宋体" w:cs="Times New Roman"/>
          <w:color w:val="auto"/>
          <w:sz w:val="24"/>
          <w:szCs w:val="24"/>
          <w:highlight w:val="none"/>
          <w:lang w:val="en-US" w:eastAsia="zh-CN"/>
        </w:rPr>
        <w:t>S1</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 xml:space="preserve"> </w:t>
      </w:r>
      <w:r>
        <w:rPr>
          <w:rFonts w:hint="default" w:ascii="Times New Roman" w:hAnsi="Times New Roman" w:cs="Times New Roman"/>
          <w:color w:val="auto"/>
          <w:sz w:val="24"/>
          <w:szCs w:val="24"/>
          <w:highlight w:val="none"/>
        </w:rPr>
        <w:t>More Robustness Tests</w:t>
      </w:r>
    </w:p>
    <w:tbl>
      <w:tblPr>
        <w:tblStyle w:val="4"/>
        <w:tblW w:w="8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736"/>
        <w:gridCol w:w="736"/>
        <w:gridCol w:w="797"/>
        <w:gridCol w:w="736"/>
        <w:gridCol w:w="797"/>
        <w:gridCol w:w="797"/>
        <w:gridCol w:w="793"/>
        <w:gridCol w:w="736"/>
        <w:gridCol w:w="736"/>
        <w:gridCol w:w="736"/>
      </w:tblGrid>
      <w:tr w14:paraId="31699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927" w:type="dxa"/>
            <w:tcBorders>
              <w:top w:val="single" w:color="auto" w:sz="4" w:space="0"/>
              <w:left w:val="nil"/>
              <w:bottom w:val="single" w:color="auto" w:sz="4" w:space="0"/>
              <w:right w:val="nil"/>
            </w:tcBorders>
            <w:vAlign w:val="center"/>
          </w:tcPr>
          <w:p w14:paraId="0DF27AAC">
            <w:pPr>
              <w:keepNext w:val="0"/>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auto"/>
              <w:rPr>
                <w:rFonts w:hint="default" w:ascii="Times New Roman" w:hAnsi="Times New Roman" w:eastAsia="宋体" w:cs="Times New Roman"/>
                <w:b w:val="0"/>
                <w:bCs/>
                <w:color w:val="auto"/>
                <w:sz w:val="24"/>
                <w:szCs w:val="24"/>
                <w:highlight w:val="none"/>
                <w:vertAlign w:val="baseline"/>
                <w:lang w:val="en-US" w:eastAsia="zh-CN"/>
              </w:rPr>
            </w:pPr>
          </w:p>
        </w:tc>
        <w:tc>
          <w:tcPr>
            <w:tcW w:w="735" w:type="dxa"/>
            <w:gridSpan w:val="2"/>
            <w:tcBorders>
              <w:top w:val="single" w:color="auto" w:sz="4" w:space="0"/>
              <w:left w:val="nil"/>
              <w:bottom w:val="single" w:color="auto" w:sz="4" w:space="0"/>
              <w:right w:val="nil"/>
            </w:tcBorders>
            <w:shd w:val="clear" w:color="auto" w:fill="auto"/>
            <w:vAlign w:val="center"/>
          </w:tcPr>
          <w:p w14:paraId="5E563E81">
            <w:pPr>
              <w:snapToGrid w:val="0"/>
              <w:spacing w:after="0" w:line="240" w:lineRule="auto"/>
              <w:ind w:left="0" w:leftChars="0" w:right="0" w:rightChars="0" w:firstLine="0" w:firstLineChars="0"/>
              <w:jc w:val="center"/>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color w:val="auto"/>
                <w:sz w:val="24"/>
                <w:szCs w:val="24"/>
                <w:highlight w:val="none"/>
              </w:rPr>
              <w:t>Replacing the explained variable</w:t>
            </w:r>
          </w:p>
        </w:tc>
        <w:tc>
          <w:tcPr>
            <w:tcW w:w="796" w:type="dxa"/>
            <w:tcBorders>
              <w:top w:val="single" w:color="auto" w:sz="4" w:space="0"/>
              <w:left w:val="nil"/>
              <w:bottom w:val="single" w:color="auto" w:sz="4" w:space="0"/>
              <w:right w:val="nil"/>
            </w:tcBorders>
            <w:vAlign w:val="center"/>
          </w:tcPr>
          <w:p w14:paraId="062A38D6">
            <w:pPr>
              <w:keepNext w:val="0"/>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auto"/>
              <w:rPr>
                <w:rFonts w:hint="default" w:ascii="Times New Roman" w:hAnsi="Times New Roman" w:eastAsia="宋体" w:cs="Times New Roman"/>
                <w:b w:val="0"/>
                <w:bCs/>
                <w:i/>
                <w:iCs/>
                <w:color w:val="auto"/>
                <w:sz w:val="24"/>
                <w:szCs w:val="24"/>
                <w:highlight w:val="none"/>
                <w:lang w:val="en-US" w:eastAsia="en-US"/>
              </w:rPr>
            </w:pPr>
            <w:r>
              <w:rPr>
                <w:rFonts w:hint="default" w:ascii="Times New Roman" w:hAnsi="Times New Roman" w:cs="Times New Roman"/>
                <w:color w:val="auto"/>
                <w:sz w:val="24"/>
                <w:szCs w:val="24"/>
                <w:highlight w:val="none"/>
              </w:rPr>
              <w:t>Replacing the explanatory variable</w:t>
            </w:r>
          </w:p>
        </w:tc>
        <w:tc>
          <w:tcPr>
            <w:tcW w:w="791" w:type="dxa"/>
            <w:gridSpan w:val="4"/>
            <w:tcBorders>
              <w:top w:val="single" w:color="auto" w:sz="4" w:space="0"/>
              <w:left w:val="nil"/>
              <w:bottom w:val="single" w:color="auto" w:sz="4" w:space="0"/>
              <w:right w:val="nil"/>
            </w:tcBorders>
            <w:vAlign w:val="center"/>
          </w:tcPr>
          <w:p w14:paraId="5F3386CB">
            <w:pPr>
              <w:keepNext w:val="0"/>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auto"/>
              <w:rPr>
                <w:rFonts w:hint="default" w:ascii="Times New Roman" w:hAnsi="Times New Roman" w:eastAsia="宋体" w:cs="Times New Roman"/>
                <w:b w:val="0"/>
                <w:bCs/>
                <w:color w:val="auto"/>
                <w:sz w:val="24"/>
                <w:szCs w:val="24"/>
                <w:highlight w:val="none"/>
                <w:lang w:val="en-US" w:eastAsia="zh-CN"/>
              </w:rPr>
            </w:pPr>
            <w:r>
              <w:rPr>
                <w:rFonts w:hint="default" w:ascii="Times New Roman" w:hAnsi="Times New Roman" w:cs="Times New Roman"/>
                <w:color w:val="auto"/>
                <w:sz w:val="24"/>
                <w:szCs w:val="24"/>
                <w:highlight w:val="none"/>
              </w:rPr>
              <w:t>Adding</w:t>
            </w:r>
            <w:r>
              <w:rPr>
                <w:rFonts w:hint="default" w:ascii="Times New Roman" w:hAnsi="Times New Roman"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f</w:t>
            </w:r>
            <w:r>
              <w:rPr>
                <w:rFonts w:hint="default" w:ascii="Times New Roman" w:hAnsi="Times New Roman" w:cs="Times New Roman"/>
                <w:color w:val="auto"/>
                <w:sz w:val="24"/>
                <w:szCs w:val="24"/>
                <w:highlight w:val="none"/>
              </w:rPr>
              <w:t xml:space="preserve">ixed </w:t>
            </w:r>
            <w:r>
              <w:rPr>
                <w:rFonts w:hint="default" w:ascii="Times New Roman" w:hAnsi="Times New Roman" w:eastAsia="宋体" w:cs="Times New Roman"/>
                <w:color w:val="auto"/>
                <w:sz w:val="24"/>
                <w:szCs w:val="24"/>
                <w:highlight w:val="none"/>
                <w:lang w:val="en-US" w:eastAsia="zh-CN"/>
              </w:rPr>
              <w:t>e</w:t>
            </w:r>
            <w:r>
              <w:rPr>
                <w:rFonts w:hint="default" w:ascii="Times New Roman" w:hAnsi="Times New Roman" w:cs="Times New Roman"/>
                <w:color w:val="auto"/>
                <w:sz w:val="24"/>
                <w:szCs w:val="24"/>
                <w:highlight w:val="none"/>
              </w:rPr>
              <w:t>ffects</w:t>
            </w:r>
          </w:p>
        </w:tc>
        <w:tc>
          <w:tcPr>
            <w:tcW w:w="735" w:type="dxa"/>
            <w:gridSpan w:val="3"/>
            <w:tcBorders>
              <w:top w:val="single" w:color="auto" w:sz="4" w:space="0"/>
              <w:left w:val="nil"/>
              <w:bottom w:val="single" w:color="auto" w:sz="4" w:space="0"/>
              <w:right w:val="nil"/>
            </w:tcBorders>
            <w:vAlign w:val="center"/>
          </w:tcPr>
          <w:p w14:paraId="0BFE7A5B">
            <w:pPr>
              <w:keepNext w:val="0"/>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auto"/>
              <w:rPr>
                <w:rFonts w:hint="default" w:ascii="Times New Roman" w:hAnsi="Times New Roman" w:eastAsia="宋体" w:cs="Times New Roman"/>
                <w:b w:val="0"/>
                <w:bCs/>
                <w:color w:val="auto"/>
                <w:sz w:val="24"/>
                <w:szCs w:val="24"/>
                <w:highlight w:val="none"/>
                <w:lang w:val="en-US" w:eastAsia="zh-CN"/>
              </w:rPr>
            </w:pPr>
            <w:r>
              <w:rPr>
                <w:rFonts w:hint="default" w:ascii="Times New Roman" w:hAnsi="Times New Roman" w:cs="Times New Roman"/>
                <w:color w:val="auto"/>
                <w:sz w:val="24"/>
                <w:szCs w:val="24"/>
                <w:highlight w:val="none"/>
              </w:rPr>
              <w:t xml:space="preserve">Excluding </w:t>
            </w:r>
            <w:r>
              <w:rPr>
                <w:rFonts w:hint="default" w:ascii="Times New Roman" w:hAnsi="Times New Roman" w:eastAsia="宋体" w:cs="Times New Roman"/>
                <w:color w:val="auto"/>
                <w:sz w:val="24"/>
                <w:szCs w:val="24"/>
                <w:highlight w:val="none"/>
                <w:lang w:val="en-US" w:eastAsia="zh-CN"/>
              </w:rPr>
              <w:t>c</w:t>
            </w:r>
            <w:r>
              <w:rPr>
                <w:rFonts w:hint="default" w:ascii="Times New Roman" w:hAnsi="Times New Roman" w:cs="Times New Roman"/>
                <w:color w:val="auto"/>
                <w:sz w:val="24"/>
                <w:szCs w:val="24"/>
                <w:highlight w:val="none"/>
              </w:rPr>
              <w:t xml:space="preserve">ertain </w:t>
            </w:r>
            <w:r>
              <w:rPr>
                <w:rFonts w:hint="default" w:ascii="Times New Roman" w:hAnsi="Times New Roman" w:eastAsia="宋体" w:cs="Times New Roman"/>
                <w:color w:val="auto"/>
                <w:sz w:val="24"/>
                <w:szCs w:val="24"/>
                <w:highlight w:val="none"/>
                <w:lang w:val="en-US" w:eastAsia="zh-CN"/>
              </w:rPr>
              <w:t>f</w:t>
            </w:r>
            <w:r>
              <w:rPr>
                <w:rFonts w:hint="default" w:ascii="Times New Roman" w:hAnsi="Times New Roman" w:cs="Times New Roman"/>
                <w:color w:val="auto"/>
                <w:sz w:val="24"/>
                <w:szCs w:val="24"/>
                <w:highlight w:val="none"/>
              </w:rPr>
              <w:t>actors</w:t>
            </w:r>
          </w:p>
        </w:tc>
      </w:tr>
      <w:tr w14:paraId="1AB5B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927" w:type="dxa"/>
            <w:tcBorders>
              <w:top w:val="single" w:color="auto" w:sz="4" w:space="0"/>
              <w:left w:val="nil"/>
              <w:bottom w:val="single" w:color="auto" w:sz="4" w:space="0"/>
              <w:right w:val="nil"/>
            </w:tcBorders>
            <w:vAlign w:val="center"/>
          </w:tcPr>
          <w:p w14:paraId="4AB04480">
            <w:pPr>
              <w:keepNext w:val="0"/>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auto"/>
              <w:rPr>
                <w:rFonts w:hint="default" w:ascii="Times New Roman" w:hAnsi="Times New Roman" w:eastAsia="宋体" w:cs="Times New Roman"/>
                <w:b w:val="0"/>
                <w:bCs/>
                <w:i/>
                <w:iCs/>
                <w:color w:val="auto"/>
                <w:sz w:val="24"/>
                <w:szCs w:val="24"/>
                <w:highlight w:val="none"/>
                <w:vertAlign w:val="baseline"/>
                <w:lang w:val="en-US" w:eastAsia="zh-CN"/>
              </w:rPr>
            </w:pPr>
          </w:p>
        </w:tc>
        <w:tc>
          <w:tcPr>
            <w:tcW w:w="735" w:type="dxa"/>
            <w:tcBorders>
              <w:top w:val="single" w:color="auto" w:sz="4" w:space="0"/>
              <w:left w:val="nil"/>
              <w:bottom w:val="single" w:color="auto" w:sz="4" w:space="0"/>
              <w:right w:val="nil"/>
            </w:tcBorders>
            <w:shd w:val="clear" w:color="auto" w:fill="auto"/>
            <w:vAlign w:val="center"/>
          </w:tcPr>
          <w:p w14:paraId="042E648A">
            <w:pPr>
              <w:snapToGrid w:val="0"/>
              <w:spacing w:after="0" w:line="240" w:lineRule="auto"/>
              <w:ind w:left="0" w:leftChars="0" w:right="0" w:rightChars="0" w:firstLine="0" w:firstLineChars="0"/>
              <w:jc w:val="center"/>
              <w:rPr>
                <w:rFonts w:hint="default" w:ascii="Times New Roman" w:hAnsi="Times New Roman" w:eastAsia="宋体" w:cs="Times New Roman"/>
                <w:b w:val="0"/>
                <w:bCs/>
                <w:i w:val="0"/>
                <w:iCs w:val="0"/>
                <w:color w:val="auto"/>
                <w:sz w:val="24"/>
                <w:szCs w:val="24"/>
                <w:highlight w:val="none"/>
                <w:lang w:eastAsia="zh-CN"/>
              </w:rPr>
            </w:pPr>
          </w:p>
          <w:p w14:paraId="50225574">
            <w:pPr>
              <w:snapToGrid w:val="0"/>
              <w:spacing w:after="0" w:line="240" w:lineRule="auto"/>
              <w:ind w:left="0" w:leftChars="0" w:right="0" w:rightChars="0" w:firstLine="0" w:firstLineChars="0"/>
              <w:jc w:val="center"/>
              <w:rPr>
                <w:rFonts w:hint="default" w:ascii="Times New Roman" w:hAnsi="Times New Roman" w:eastAsia="宋体" w:cs="Times New Roman"/>
                <w:b w:val="0"/>
                <w:bCs/>
                <w:i/>
                <w:iCs/>
                <w:color w:val="auto"/>
                <w:sz w:val="24"/>
                <w:szCs w:val="24"/>
                <w:highlight w:val="none"/>
                <w:lang w:val="en-US" w:eastAsia="zh-CN" w:bidi="ar-SA"/>
              </w:rPr>
            </w:pP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val="0"/>
                <w:iCs w:val="0"/>
                <w:color w:val="auto"/>
                <w:sz w:val="24"/>
                <w:szCs w:val="24"/>
                <w:highlight w:val="none"/>
                <w:lang w:val="en-US" w:eastAsia="zh-CN"/>
              </w:rPr>
              <w:t>1</w:t>
            </w: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iCs/>
                <w:color w:val="auto"/>
                <w:sz w:val="24"/>
                <w:szCs w:val="24"/>
                <w:highlight w:val="none"/>
              </w:rPr>
              <w:t>PI</w:t>
            </w:r>
          </w:p>
        </w:tc>
        <w:tc>
          <w:tcPr>
            <w:tcW w:w="735" w:type="dxa"/>
            <w:tcBorders>
              <w:top w:val="single" w:color="auto" w:sz="4" w:space="0"/>
              <w:left w:val="nil"/>
              <w:bottom w:val="single" w:color="auto" w:sz="4" w:space="0"/>
              <w:right w:val="nil"/>
            </w:tcBorders>
            <w:shd w:val="clear" w:color="auto" w:fill="auto"/>
            <w:vAlign w:val="center"/>
          </w:tcPr>
          <w:p w14:paraId="1511DD22">
            <w:pPr>
              <w:snapToGrid w:val="0"/>
              <w:spacing w:after="0" w:line="240" w:lineRule="auto"/>
              <w:ind w:left="0" w:leftChars="0" w:right="0" w:rightChars="0" w:firstLine="0" w:firstLineChars="0"/>
              <w:jc w:val="center"/>
              <w:rPr>
                <w:rFonts w:hint="default" w:ascii="Times New Roman" w:hAnsi="Times New Roman" w:eastAsia="宋体" w:cs="Times New Roman"/>
                <w:b w:val="0"/>
                <w:bCs/>
                <w:i/>
                <w:iCs/>
                <w:color w:val="auto"/>
                <w:sz w:val="24"/>
                <w:szCs w:val="24"/>
                <w:highlight w:val="none"/>
                <w:lang w:val="en-US" w:eastAsia="zh-CN" w:bidi="ar-SA"/>
              </w:rPr>
            </w:pP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val="0"/>
                <w:iCs w:val="0"/>
                <w:color w:val="auto"/>
                <w:sz w:val="24"/>
                <w:szCs w:val="24"/>
                <w:highlight w:val="none"/>
                <w:lang w:val="en-US" w:eastAsia="zh-CN"/>
              </w:rPr>
              <w:t>2</w:t>
            </w: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iCs/>
                <w:color w:val="auto"/>
                <w:sz w:val="24"/>
                <w:szCs w:val="24"/>
                <w:highlight w:val="none"/>
              </w:rPr>
              <w:t>A</w:t>
            </w:r>
            <w:r>
              <w:rPr>
                <w:rFonts w:hint="default" w:ascii="Times New Roman" w:hAnsi="Times New Roman" w:eastAsia="宋体" w:cs="Times New Roman"/>
                <w:b w:val="0"/>
                <w:bCs/>
                <w:i/>
                <w:iCs/>
                <w:color w:val="auto"/>
                <w:sz w:val="24"/>
                <w:szCs w:val="24"/>
                <w:highlight w:val="none"/>
                <w:lang w:val="en-US" w:eastAsia="zh-CN"/>
              </w:rPr>
              <w:t>ir</w:t>
            </w:r>
            <w:r>
              <w:rPr>
                <w:rFonts w:hint="default" w:ascii="Times New Roman" w:hAnsi="Times New Roman" w:eastAsia="宋体" w:cs="Times New Roman"/>
                <w:b w:val="0"/>
                <w:bCs/>
                <w:i/>
                <w:iCs/>
                <w:color w:val="auto"/>
                <w:sz w:val="24"/>
                <w:szCs w:val="24"/>
                <w:highlight w:val="none"/>
              </w:rPr>
              <w:t>P</w:t>
            </w:r>
          </w:p>
        </w:tc>
        <w:tc>
          <w:tcPr>
            <w:tcW w:w="796" w:type="dxa"/>
            <w:tcBorders>
              <w:top w:val="single" w:color="auto" w:sz="4" w:space="0"/>
              <w:left w:val="nil"/>
              <w:bottom w:val="single" w:color="auto" w:sz="4" w:space="0"/>
              <w:right w:val="nil"/>
            </w:tcBorders>
            <w:vAlign w:val="center"/>
          </w:tcPr>
          <w:p w14:paraId="6BCD2F86">
            <w:pPr>
              <w:snapToGrid w:val="0"/>
              <w:spacing w:after="0" w:line="240" w:lineRule="auto"/>
              <w:ind w:left="0" w:leftChars="0" w:right="0" w:rightChars="0" w:firstLine="0" w:firstLineChars="0"/>
              <w:jc w:val="center"/>
              <w:rPr>
                <w:rFonts w:hint="default" w:ascii="Times New Roman" w:hAnsi="Times New Roman" w:eastAsia="宋体" w:cs="Times New Roman"/>
                <w:b w:val="0"/>
                <w:bCs/>
                <w:i/>
                <w:iCs/>
                <w:color w:val="auto"/>
                <w:sz w:val="24"/>
                <w:szCs w:val="24"/>
                <w:highlight w:val="none"/>
                <w:vertAlign w:val="baseline"/>
                <w:lang w:val="en-US" w:eastAsia="zh-CN"/>
              </w:rPr>
            </w:pP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val="0"/>
                <w:iCs w:val="0"/>
                <w:color w:val="auto"/>
                <w:sz w:val="24"/>
                <w:szCs w:val="24"/>
                <w:highlight w:val="none"/>
                <w:lang w:val="en-US" w:eastAsia="zh-CN"/>
              </w:rPr>
              <w:t>3</w:t>
            </w: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iCs/>
                <w:color w:val="auto"/>
                <w:sz w:val="24"/>
                <w:szCs w:val="24"/>
                <w:highlight w:val="none"/>
                <w:lang w:val="en-US" w:eastAsia="zh-CN"/>
              </w:rPr>
              <w:t>ln</w:t>
            </w:r>
            <w:r>
              <w:rPr>
                <w:rFonts w:hint="default" w:ascii="Times New Roman" w:hAnsi="Times New Roman" w:eastAsia="宋体" w:cs="Times New Roman"/>
                <w:b w:val="0"/>
                <w:bCs/>
                <w:i/>
                <w:iCs/>
                <w:color w:val="auto"/>
                <w:sz w:val="24"/>
                <w:szCs w:val="24"/>
                <w:highlight w:val="none"/>
                <w:lang w:val="en-US" w:eastAsia="en-US"/>
              </w:rPr>
              <w:t>P</w:t>
            </w:r>
          </w:p>
        </w:tc>
        <w:tc>
          <w:tcPr>
            <w:tcW w:w="735" w:type="dxa"/>
            <w:tcBorders>
              <w:top w:val="single" w:color="auto" w:sz="4" w:space="0"/>
              <w:left w:val="nil"/>
              <w:bottom w:val="single" w:color="auto" w:sz="4" w:space="0"/>
              <w:right w:val="nil"/>
            </w:tcBorders>
            <w:vAlign w:val="center"/>
          </w:tcPr>
          <w:p w14:paraId="3AA0C36C">
            <w:pPr>
              <w:snapToGrid w:val="0"/>
              <w:spacing w:after="0" w:line="240" w:lineRule="auto"/>
              <w:ind w:left="0" w:leftChars="0" w:right="0" w:rightChars="0" w:firstLine="0" w:firstLineChars="0"/>
              <w:jc w:val="center"/>
              <w:rPr>
                <w:rFonts w:hint="default" w:ascii="Times New Roman" w:hAnsi="Times New Roman" w:eastAsia="宋体" w:cs="Times New Roman"/>
                <w:b w:val="0"/>
                <w:bCs/>
                <w:i w:val="0"/>
                <w:iCs w:val="0"/>
                <w:color w:val="auto"/>
                <w:sz w:val="24"/>
                <w:szCs w:val="24"/>
                <w:highlight w:val="none"/>
                <w:lang w:eastAsia="zh-CN"/>
              </w:rPr>
            </w:pPr>
          </w:p>
          <w:p w14:paraId="3FD02B22">
            <w:pPr>
              <w:snapToGrid w:val="0"/>
              <w:spacing w:after="0" w:line="240" w:lineRule="auto"/>
              <w:ind w:left="0" w:leftChars="0" w:right="0" w:rightChars="0" w:firstLine="0" w:firstLineChars="0"/>
              <w:jc w:val="center"/>
              <w:rPr>
                <w:rFonts w:hint="default" w:ascii="Times New Roman" w:hAnsi="Times New Roman" w:eastAsia="宋体" w:cs="Times New Roman"/>
                <w:b w:val="0"/>
                <w:bCs/>
                <w:i w:val="0"/>
                <w:iCs w:val="0"/>
                <w:color w:val="auto"/>
                <w:sz w:val="24"/>
                <w:szCs w:val="24"/>
                <w:highlight w:val="none"/>
                <w:lang w:eastAsia="zh-CN"/>
              </w:rPr>
            </w:pP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val="0"/>
                <w:iCs w:val="0"/>
                <w:color w:val="auto"/>
                <w:sz w:val="24"/>
                <w:szCs w:val="24"/>
                <w:highlight w:val="none"/>
                <w:lang w:val="en-US" w:eastAsia="zh-CN"/>
              </w:rPr>
              <w:t>4</w:t>
            </w: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iCs/>
                <w:color w:val="auto"/>
                <w:sz w:val="24"/>
                <w:szCs w:val="24"/>
                <w:highlight w:val="none"/>
                <w:lang w:val="en-US" w:eastAsia="zh-CN"/>
              </w:rPr>
              <w:t>ln</w:t>
            </w:r>
            <w:r>
              <w:rPr>
                <w:rFonts w:hint="default" w:ascii="Times New Roman" w:hAnsi="Times New Roman" w:eastAsia="宋体" w:cs="Times New Roman"/>
                <w:b w:val="0"/>
                <w:bCs/>
                <w:i/>
                <w:iCs/>
                <w:color w:val="auto"/>
                <w:sz w:val="24"/>
                <w:szCs w:val="24"/>
                <w:highlight w:val="none"/>
                <w:lang w:val="en-US" w:eastAsia="en-US"/>
              </w:rPr>
              <w:t>P</w:t>
            </w:r>
          </w:p>
        </w:tc>
        <w:tc>
          <w:tcPr>
            <w:tcW w:w="796" w:type="dxa"/>
            <w:tcBorders>
              <w:top w:val="single" w:color="auto" w:sz="4" w:space="0"/>
              <w:left w:val="nil"/>
              <w:bottom w:val="single" w:color="auto" w:sz="4" w:space="0"/>
              <w:right w:val="nil"/>
            </w:tcBorders>
            <w:vAlign w:val="center"/>
          </w:tcPr>
          <w:p w14:paraId="1BF0ABC8">
            <w:pPr>
              <w:snapToGrid w:val="0"/>
              <w:spacing w:after="0" w:line="240" w:lineRule="auto"/>
              <w:ind w:left="0" w:leftChars="0" w:right="0" w:rightChars="0" w:firstLine="0" w:firstLineChars="0"/>
              <w:jc w:val="center"/>
              <w:rPr>
                <w:rFonts w:hint="default" w:ascii="Times New Roman" w:hAnsi="Times New Roman" w:eastAsia="宋体" w:cs="Times New Roman"/>
                <w:b w:val="0"/>
                <w:bCs/>
                <w:i w:val="0"/>
                <w:iCs w:val="0"/>
                <w:color w:val="auto"/>
                <w:sz w:val="24"/>
                <w:szCs w:val="24"/>
                <w:highlight w:val="none"/>
                <w:lang w:eastAsia="zh-CN"/>
              </w:rPr>
            </w:pP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val="0"/>
                <w:iCs w:val="0"/>
                <w:color w:val="auto"/>
                <w:sz w:val="24"/>
                <w:szCs w:val="24"/>
                <w:highlight w:val="none"/>
                <w:lang w:val="en-US" w:eastAsia="zh-CN"/>
              </w:rPr>
              <w:t>5</w:t>
            </w: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iCs/>
                <w:color w:val="auto"/>
                <w:sz w:val="24"/>
                <w:szCs w:val="24"/>
                <w:highlight w:val="none"/>
                <w:lang w:val="en-US" w:eastAsia="zh-CN"/>
              </w:rPr>
              <w:t>ln</w:t>
            </w:r>
            <w:r>
              <w:rPr>
                <w:rFonts w:hint="default" w:ascii="Times New Roman" w:hAnsi="Times New Roman" w:eastAsia="宋体" w:cs="Times New Roman"/>
                <w:b w:val="0"/>
                <w:bCs/>
                <w:i/>
                <w:iCs/>
                <w:color w:val="auto"/>
                <w:sz w:val="24"/>
                <w:szCs w:val="24"/>
                <w:highlight w:val="none"/>
                <w:lang w:val="en-US" w:eastAsia="en-US"/>
              </w:rPr>
              <w:t>P</w:t>
            </w:r>
          </w:p>
        </w:tc>
        <w:tc>
          <w:tcPr>
            <w:tcW w:w="796" w:type="dxa"/>
            <w:tcBorders>
              <w:top w:val="single" w:color="auto" w:sz="4" w:space="0"/>
              <w:left w:val="nil"/>
              <w:bottom w:val="single" w:color="auto" w:sz="4" w:space="0"/>
              <w:right w:val="nil"/>
            </w:tcBorders>
            <w:vAlign w:val="center"/>
          </w:tcPr>
          <w:p w14:paraId="404A0B4E">
            <w:pPr>
              <w:snapToGrid w:val="0"/>
              <w:spacing w:after="0" w:line="240" w:lineRule="auto"/>
              <w:ind w:left="0" w:leftChars="0" w:right="0" w:rightChars="0" w:firstLine="0" w:firstLineChars="0"/>
              <w:jc w:val="center"/>
              <w:rPr>
                <w:rFonts w:hint="default" w:ascii="Times New Roman" w:hAnsi="Times New Roman" w:eastAsia="宋体" w:cs="Times New Roman"/>
                <w:b w:val="0"/>
                <w:bCs/>
                <w:i w:val="0"/>
                <w:iCs w:val="0"/>
                <w:color w:val="auto"/>
                <w:sz w:val="24"/>
                <w:szCs w:val="24"/>
                <w:highlight w:val="none"/>
                <w:lang w:eastAsia="zh-CN"/>
              </w:rPr>
            </w:pP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val="0"/>
                <w:iCs w:val="0"/>
                <w:color w:val="auto"/>
                <w:sz w:val="24"/>
                <w:szCs w:val="24"/>
                <w:highlight w:val="none"/>
                <w:lang w:val="en-US" w:eastAsia="zh-CN"/>
              </w:rPr>
              <w:t>6</w:t>
            </w: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iCs/>
                <w:color w:val="auto"/>
                <w:sz w:val="24"/>
                <w:szCs w:val="24"/>
                <w:highlight w:val="none"/>
                <w:lang w:val="en-US" w:eastAsia="zh-CN"/>
              </w:rPr>
              <w:t>ln</w:t>
            </w:r>
            <w:r>
              <w:rPr>
                <w:rFonts w:hint="default" w:ascii="Times New Roman" w:hAnsi="Times New Roman" w:eastAsia="宋体" w:cs="Times New Roman"/>
                <w:b w:val="0"/>
                <w:bCs/>
                <w:i/>
                <w:iCs/>
                <w:color w:val="auto"/>
                <w:sz w:val="24"/>
                <w:szCs w:val="24"/>
                <w:highlight w:val="none"/>
                <w:lang w:val="en-US" w:eastAsia="en-US"/>
              </w:rPr>
              <w:t>P</w:t>
            </w:r>
          </w:p>
        </w:tc>
        <w:tc>
          <w:tcPr>
            <w:tcW w:w="791" w:type="dxa"/>
            <w:tcBorders>
              <w:top w:val="single" w:color="auto" w:sz="4" w:space="0"/>
              <w:left w:val="nil"/>
              <w:bottom w:val="single" w:color="auto" w:sz="4" w:space="0"/>
              <w:right w:val="nil"/>
            </w:tcBorders>
            <w:vAlign w:val="center"/>
          </w:tcPr>
          <w:p w14:paraId="5FDC864C">
            <w:pPr>
              <w:snapToGrid w:val="0"/>
              <w:spacing w:after="0" w:line="240" w:lineRule="auto"/>
              <w:ind w:left="0" w:leftChars="0" w:right="0" w:rightChars="0" w:firstLine="0" w:firstLineChars="0"/>
              <w:jc w:val="center"/>
              <w:rPr>
                <w:rFonts w:hint="default" w:ascii="Times New Roman" w:hAnsi="Times New Roman" w:eastAsia="宋体" w:cs="Times New Roman"/>
                <w:b w:val="0"/>
                <w:bCs/>
                <w:i w:val="0"/>
                <w:iCs w:val="0"/>
                <w:color w:val="auto"/>
                <w:sz w:val="24"/>
                <w:szCs w:val="24"/>
                <w:highlight w:val="none"/>
                <w:lang w:eastAsia="zh-CN"/>
              </w:rPr>
            </w:pP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val="0"/>
                <w:iCs w:val="0"/>
                <w:color w:val="auto"/>
                <w:sz w:val="24"/>
                <w:szCs w:val="24"/>
                <w:highlight w:val="none"/>
                <w:lang w:val="en-US" w:eastAsia="zh-CN"/>
              </w:rPr>
              <w:t>7</w:t>
            </w: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iCs/>
                <w:color w:val="auto"/>
                <w:sz w:val="24"/>
                <w:szCs w:val="24"/>
                <w:highlight w:val="none"/>
                <w:lang w:val="en-US" w:eastAsia="zh-CN"/>
              </w:rPr>
              <w:t>ln</w:t>
            </w:r>
            <w:r>
              <w:rPr>
                <w:rFonts w:hint="default" w:ascii="Times New Roman" w:hAnsi="Times New Roman" w:eastAsia="宋体" w:cs="Times New Roman"/>
                <w:b w:val="0"/>
                <w:bCs/>
                <w:i/>
                <w:iCs/>
                <w:color w:val="auto"/>
                <w:sz w:val="24"/>
                <w:szCs w:val="24"/>
                <w:highlight w:val="none"/>
                <w:lang w:val="en-US" w:eastAsia="en-US"/>
              </w:rPr>
              <w:t>P</w:t>
            </w:r>
          </w:p>
        </w:tc>
        <w:tc>
          <w:tcPr>
            <w:tcW w:w="735" w:type="dxa"/>
            <w:tcBorders>
              <w:top w:val="single" w:color="auto" w:sz="4" w:space="0"/>
              <w:left w:val="nil"/>
              <w:bottom w:val="single" w:color="auto" w:sz="4" w:space="0"/>
              <w:right w:val="nil"/>
            </w:tcBorders>
            <w:vAlign w:val="center"/>
          </w:tcPr>
          <w:p w14:paraId="781A934C">
            <w:pPr>
              <w:snapToGrid w:val="0"/>
              <w:spacing w:after="0" w:line="240" w:lineRule="auto"/>
              <w:ind w:left="0" w:leftChars="0" w:right="0" w:rightChars="0" w:firstLine="0" w:firstLineChars="0"/>
              <w:jc w:val="center"/>
              <w:rPr>
                <w:rFonts w:hint="default" w:ascii="Times New Roman" w:hAnsi="Times New Roman" w:eastAsia="宋体" w:cs="Times New Roman"/>
                <w:b w:val="0"/>
                <w:bCs/>
                <w:i w:val="0"/>
                <w:iCs w:val="0"/>
                <w:color w:val="auto"/>
                <w:sz w:val="24"/>
                <w:szCs w:val="24"/>
                <w:highlight w:val="none"/>
                <w:lang w:eastAsia="zh-CN"/>
              </w:rPr>
            </w:pPr>
          </w:p>
          <w:p w14:paraId="17796199">
            <w:pPr>
              <w:snapToGrid w:val="0"/>
              <w:spacing w:after="0" w:line="240" w:lineRule="auto"/>
              <w:ind w:left="0" w:leftChars="0" w:right="0" w:rightChars="0" w:firstLine="0" w:firstLineChars="0"/>
              <w:jc w:val="center"/>
              <w:rPr>
                <w:rFonts w:hint="default" w:ascii="Times New Roman" w:hAnsi="Times New Roman" w:eastAsia="宋体" w:cs="Times New Roman"/>
                <w:b w:val="0"/>
                <w:bCs/>
                <w:i w:val="0"/>
                <w:iCs w:val="0"/>
                <w:color w:val="auto"/>
                <w:sz w:val="24"/>
                <w:szCs w:val="24"/>
                <w:highlight w:val="none"/>
                <w:lang w:eastAsia="zh-CN"/>
              </w:rPr>
            </w:pP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val="0"/>
                <w:iCs w:val="0"/>
                <w:color w:val="auto"/>
                <w:sz w:val="24"/>
                <w:szCs w:val="24"/>
                <w:highlight w:val="none"/>
                <w:lang w:val="en-US" w:eastAsia="zh-CN"/>
              </w:rPr>
              <w:t>8</w:t>
            </w: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iCs/>
                <w:color w:val="auto"/>
                <w:sz w:val="24"/>
                <w:szCs w:val="24"/>
                <w:highlight w:val="none"/>
                <w:lang w:val="en-US" w:eastAsia="zh-CN"/>
              </w:rPr>
              <w:t>ln</w:t>
            </w:r>
            <w:r>
              <w:rPr>
                <w:rFonts w:hint="default" w:ascii="Times New Roman" w:hAnsi="Times New Roman" w:eastAsia="宋体" w:cs="Times New Roman"/>
                <w:b w:val="0"/>
                <w:bCs/>
                <w:i/>
                <w:iCs/>
                <w:color w:val="auto"/>
                <w:sz w:val="24"/>
                <w:szCs w:val="24"/>
                <w:highlight w:val="none"/>
                <w:lang w:val="en-US" w:eastAsia="en-US"/>
              </w:rPr>
              <w:t>P</w:t>
            </w:r>
          </w:p>
        </w:tc>
        <w:tc>
          <w:tcPr>
            <w:tcW w:w="735" w:type="dxa"/>
            <w:tcBorders>
              <w:top w:val="single" w:color="auto" w:sz="4" w:space="0"/>
              <w:left w:val="nil"/>
              <w:bottom w:val="single" w:color="auto" w:sz="4" w:space="0"/>
              <w:right w:val="nil"/>
            </w:tcBorders>
            <w:vAlign w:val="center"/>
          </w:tcPr>
          <w:p w14:paraId="05C373A6">
            <w:pPr>
              <w:snapToGrid w:val="0"/>
              <w:spacing w:after="0" w:line="240" w:lineRule="auto"/>
              <w:ind w:left="0" w:leftChars="0" w:right="0" w:rightChars="0" w:firstLine="0" w:firstLineChars="0"/>
              <w:jc w:val="center"/>
              <w:rPr>
                <w:rFonts w:hint="default" w:ascii="Times New Roman" w:hAnsi="Times New Roman" w:eastAsia="宋体" w:cs="Times New Roman"/>
                <w:b w:val="0"/>
                <w:bCs/>
                <w:i w:val="0"/>
                <w:iCs w:val="0"/>
                <w:color w:val="auto"/>
                <w:sz w:val="24"/>
                <w:szCs w:val="24"/>
                <w:highlight w:val="none"/>
                <w:lang w:eastAsia="zh-CN"/>
              </w:rPr>
            </w:pPr>
          </w:p>
          <w:p w14:paraId="08E2CFC4">
            <w:pPr>
              <w:snapToGrid w:val="0"/>
              <w:spacing w:after="0" w:line="240" w:lineRule="auto"/>
              <w:ind w:left="0" w:leftChars="0" w:right="0" w:rightChars="0" w:firstLine="0" w:firstLineChars="0"/>
              <w:jc w:val="center"/>
              <w:rPr>
                <w:rFonts w:hint="default" w:ascii="Times New Roman" w:hAnsi="Times New Roman" w:eastAsia="宋体" w:cs="Times New Roman"/>
                <w:b w:val="0"/>
                <w:bCs/>
                <w:i w:val="0"/>
                <w:iCs w:val="0"/>
                <w:color w:val="auto"/>
                <w:sz w:val="24"/>
                <w:szCs w:val="24"/>
                <w:highlight w:val="none"/>
                <w:lang w:eastAsia="zh-CN"/>
              </w:rPr>
            </w:pP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val="0"/>
                <w:iCs w:val="0"/>
                <w:color w:val="auto"/>
                <w:sz w:val="24"/>
                <w:szCs w:val="24"/>
                <w:highlight w:val="none"/>
                <w:lang w:val="en-US" w:eastAsia="zh-CN"/>
              </w:rPr>
              <w:t>9</w:t>
            </w: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iCs/>
                <w:color w:val="auto"/>
                <w:sz w:val="24"/>
                <w:szCs w:val="24"/>
                <w:highlight w:val="none"/>
                <w:lang w:val="en-US" w:eastAsia="zh-CN"/>
              </w:rPr>
              <w:t>ln</w:t>
            </w:r>
            <w:r>
              <w:rPr>
                <w:rFonts w:hint="default" w:ascii="Times New Roman" w:hAnsi="Times New Roman" w:eastAsia="宋体" w:cs="Times New Roman"/>
                <w:b w:val="0"/>
                <w:bCs/>
                <w:i/>
                <w:iCs/>
                <w:color w:val="auto"/>
                <w:sz w:val="24"/>
                <w:szCs w:val="24"/>
                <w:highlight w:val="none"/>
                <w:lang w:val="en-US" w:eastAsia="en-US"/>
              </w:rPr>
              <w:t>P</w:t>
            </w:r>
          </w:p>
        </w:tc>
        <w:tc>
          <w:tcPr>
            <w:tcW w:w="735" w:type="dxa"/>
            <w:tcBorders>
              <w:top w:val="single" w:color="auto" w:sz="4" w:space="0"/>
              <w:left w:val="nil"/>
              <w:bottom w:val="single" w:color="auto" w:sz="4" w:space="0"/>
              <w:right w:val="nil"/>
            </w:tcBorders>
            <w:vAlign w:val="center"/>
          </w:tcPr>
          <w:p w14:paraId="05ACFCBE">
            <w:pPr>
              <w:snapToGrid w:val="0"/>
              <w:spacing w:after="0" w:line="240" w:lineRule="auto"/>
              <w:ind w:left="0" w:leftChars="0" w:right="0" w:rightChars="0" w:firstLine="0" w:firstLineChars="0"/>
              <w:jc w:val="center"/>
              <w:rPr>
                <w:rFonts w:hint="default" w:ascii="Times New Roman" w:hAnsi="Times New Roman" w:eastAsia="宋体" w:cs="Times New Roman"/>
                <w:b w:val="0"/>
                <w:bCs/>
                <w:i w:val="0"/>
                <w:iCs w:val="0"/>
                <w:color w:val="auto"/>
                <w:sz w:val="24"/>
                <w:szCs w:val="24"/>
                <w:highlight w:val="none"/>
                <w:lang w:eastAsia="zh-CN"/>
              </w:rPr>
            </w:pP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val="0"/>
                <w:iCs w:val="0"/>
                <w:color w:val="auto"/>
                <w:sz w:val="24"/>
                <w:szCs w:val="24"/>
                <w:highlight w:val="none"/>
                <w:lang w:val="en-US" w:eastAsia="zh-CN"/>
              </w:rPr>
              <w:t>10</w:t>
            </w:r>
            <w:r>
              <w:rPr>
                <w:rFonts w:hint="default" w:ascii="Times New Roman" w:hAnsi="Times New Roman" w:eastAsia="宋体" w:cs="Times New Roman"/>
                <w:b w:val="0"/>
                <w:bCs/>
                <w:i w:val="0"/>
                <w:iCs w:val="0"/>
                <w:color w:val="auto"/>
                <w:sz w:val="24"/>
                <w:szCs w:val="24"/>
                <w:highlight w:val="none"/>
                <w:lang w:eastAsia="zh-CN"/>
              </w:rPr>
              <w:t>）</w:t>
            </w:r>
            <w:r>
              <w:rPr>
                <w:rFonts w:hint="default" w:ascii="Times New Roman" w:hAnsi="Times New Roman" w:eastAsia="宋体" w:cs="Times New Roman"/>
                <w:b w:val="0"/>
                <w:bCs/>
                <w:i/>
                <w:iCs/>
                <w:color w:val="auto"/>
                <w:sz w:val="24"/>
                <w:szCs w:val="24"/>
                <w:highlight w:val="none"/>
                <w:lang w:val="en-US" w:eastAsia="zh-CN"/>
              </w:rPr>
              <w:t>ln</w:t>
            </w:r>
            <w:r>
              <w:rPr>
                <w:rFonts w:hint="default" w:ascii="Times New Roman" w:hAnsi="Times New Roman" w:eastAsia="宋体" w:cs="Times New Roman"/>
                <w:b w:val="0"/>
                <w:bCs/>
                <w:i/>
                <w:iCs/>
                <w:color w:val="auto"/>
                <w:sz w:val="24"/>
                <w:szCs w:val="24"/>
                <w:highlight w:val="none"/>
                <w:lang w:val="en-US" w:eastAsia="en-US"/>
              </w:rPr>
              <w:t>P</w:t>
            </w:r>
          </w:p>
        </w:tc>
      </w:tr>
      <w:tr w14:paraId="02AFA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7" w:type="dxa"/>
            <w:tcBorders>
              <w:top w:val="single" w:color="auto" w:sz="4" w:space="0"/>
              <w:left w:val="nil"/>
              <w:bottom w:val="nil"/>
              <w:right w:val="nil"/>
            </w:tcBorders>
            <w:shd w:val="clear" w:color="auto" w:fill="auto"/>
            <w:vAlign w:val="center"/>
          </w:tcPr>
          <w:p w14:paraId="309A0D78">
            <w:pPr>
              <w:snapToGrid w:val="0"/>
              <w:spacing w:after="0" w:line="240" w:lineRule="auto"/>
              <w:ind w:left="0" w:leftChars="0" w:right="0" w:rightChars="0" w:firstLine="0" w:firstLineChars="0"/>
              <w:jc w:val="center"/>
              <w:rPr>
                <w:rFonts w:hint="default" w:ascii="Times New Roman" w:hAnsi="Times New Roman" w:eastAsia="Times New Roman" w:cs="Times New Roman"/>
                <w:i/>
                <w:iCs/>
                <w:color w:val="auto"/>
                <w:sz w:val="24"/>
                <w:szCs w:val="24"/>
                <w:highlight w:val="none"/>
                <w:lang w:val="en-US" w:eastAsia="zh-CN" w:bidi="ar-SA"/>
              </w:rPr>
            </w:pPr>
            <w:r>
              <w:rPr>
                <w:rFonts w:hint="default" w:ascii="Times New Roman" w:hAnsi="Times New Roman" w:eastAsia="Times New Roman" w:cs="Times New Roman"/>
                <w:i/>
                <w:iCs/>
                <w:color w:val="auto"/>
                <w:sz w:val="24"/>
                <w:szCs w:val="24"/>
                <w:highlight w:val="none"/>
                <w:lang w:val="en-US" w:eastAsia="zh-CN"/>
              </w:rPr>
              <w:t>l</w:t>
            </w:r>
            <w:r>
              <w:rPr>
                <w:rFonts w:hint="default" w:ascii="Times New Roman" w:hAnsi="Times New Roman" w:eastAsia="Times New Roman" w:cs="Times New Roman"/>
                <w:i/>
                <w:iCs/>
                <w:color w:val="auto"/>
                <w:sz w:val="24"/>
                <w:szCs w:val="24"/>
                <w:highlight w:val="none"/>
              </w:rPr>
              <w:t>n</w:t>
            </w:r>
            <w:r>
              <w:rPr>
                <w:rFonts w:hint="default" w:ascii="Times New Roman" w:hAnsi="Times New Roman" w:eastAsia="Times New Roman" w:cs="Times New Roman"/>
                <w:i/>
                <w:iCs/>
                <w:color w:val="auto"/>
                <w:sz w:val="24"/>
                <w:szCs w:val="24"/>
                <w:highlight w:val="none"/>
                <w:lang w:val="en-US" w:eastAsia="zh-CN"/>
              </w:rPr>
              <w:t>W</w:t>
            </w:r>
            <w:r>
              <w:rPr>
                <w:rFonts w:hint="default" w:ascii="Times New Roman" w:hAnsi="Times New Roman" w:eastAsia="Times New Roman" w:cs="Times New Roman"/>
                <w:i/>
                <w:iCs/>
                <w:color w:val="auto"/>
                <w:sz w:val="24"/>
                <w:szCs w:val="24"/>
                <w:highlight w:val="none"/>
              </w:rPr>
              <w:t>ords</w:t>
            </w:r>
          </w:p>
        </w:tc>
        <w:tc>
          <w:tcPr>
            <w:tcW w:w="735" w:type="dxa"/>
            <w:tcBorders>
              <w:top w:val="single" w:color="auto" w:sz="4" w:space="0"/>
              <w:left w:val="nil"/>
              <w:bottom w:val="nil"/>
              <w:right w:val="nil"/>
            </w:tcBorders>
            <w:shd w:val="clear" w:color="auto" w:fill="auto"/>
            <w:vAlign w:val="center"/>
          </w:tcPr>
          <w:p w14:paraId="53F0898F">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-0.0814</w:t>
            </w:r>
            <w:r>
              <w:rPr>
                <w:rFonts w:hint="default" w:ascii="Times New Roman" w:hAnsi="Times New Roman" w:eastAsia="Times New Roman" w:cs="Times New Roman"/>
                <w:color w:val="auto"/>
                <w:sz w:val="24"/>
                <w:szCs w:val="24"/>
                <w:highlight w:val="none"/>
                <w:vertAlign w:val="superscript"/>
              </w:rPr>
              <w:t>***</w:t>
            </w:r>
          </w:p>
        </w:tc>
        <w:tc>
          <w:tcPr>
            <w:tcW w:w="735" w:type="dxa"/>
            <w:tcBorders>
              <w:top w:val="single" w:color="auto" w:sz="4" w:space="0"/>
              <w:left w:val="nil"/>
              <w:bottom w:val="nil"/>
              <w:right w:val="nil"/>
            </w:tcBorders>
            <w:shd w:val="clear" w:color="auto" w:fill="auto"/>
            <w:vAlign w:val="center"/>
          </w:tcPr>
          <w:p w14:paraId="3821BD6F">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-0.0135</w:t>
            </w:r>
            <w:r>
              <w:rPr>
                <w:rFonts w:hint="default" w:ascii="Times New Roman" w:hAnsi="Times New Roman" w:eastAsia="Times New Roman" w:cs="Times New Roman"/>
                <w:color w:val="auto"/>
                <w:sz w:val="24"/>
                <w:szCs w:val="24"/>
                <w:highlight w:val="none"/>
                <w:vertAlign w:val="superscript"/>
              </w:rPr>
              <w:t>***</w:t>
            </w:r>
          </w:p>
        </w:tc>
        <w:tc>
          <w:tcPr>
            <w:tcW w:w="796" w:type="dxa"/>
            <w:tcBorders>
              <w:top w:val="single" w:color="auto" w:sz="4" w:space="0"/>
              <w:left w:val="nil"/>
              <w:bottom w:val="nil"/>
              <w:right w:val="nil"/>
            </w:tcBorders>
            <w:shd w:val="clear" w:color="auto" w:fill="auto"/>
            <w:vAlign w:val="center"/>
          </w:tcPr>
          <w:p w14:paraId="40949EF8">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rPr>
            </w:pPr>
          </w:p>
        </w:tc>
        <w:tc>
          <w:tcPr>
            <w:tcW w:w="735" w:type="dxa"/>
            <w:tcBorders>
              <w:top w:val="single" w:color="auto" w:sz="4" w:space="0"/>
              <w:left w:val="nil"/>
              <w:bottom w:val="nil"/>
              <w:right w:val="nil"/>
            </w:tcBorders>
            <w:shd w:val="clear" w:color="auto" w:fill="auto"/>
            <w:vAlign w:val="center"/>
          </w:tcPr>
          <w:p w14:paraId="0ED84DD3">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-0.0145</w:t>
            </w:r>
            <w:r>
              <w:rPr>
                <w:rFonts w:hint="default" w:ascii="Times New Roman" w:hAnsi="Times New Roman" w:eastAsia="Times New Roman" w:cs="Times New Roman"/>
                <w:color w:val="auto"/>
                <w:sz w:val="24"/>
                <w:szCs w:val="24"/>
                <w:highlight w:val="none"/>
                <w:vertAlign w:val="superscript"/>
              </w:rPr>
              <w:t>***</w:t>
            </w:r>
          </w:p>
        </w:tc>
        <w:tc>
          <w:tcPr>
            <w:tcW w:w="796" w:type="dxa"/>
            <w:tcBorders>
              <w:top w:val="single" w:color="auto" w:sz="4" w:space="0"/>
              <w:left w:val="nil"/>
              <w:bottom w:val="nil"/>
              <w:right w:val="nil"/>
            </w:tcBorders>
            <w:shd w:val="clear" w:color="auto" w:fill="auto"/>
            <w:vAlign w:val="center"/>
          </w:tcPr>
          <w:p w14:paraId="1E2684CC">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-0.0114</w:t>
            </w:r>
            <w:r>
              <w:rPr>
                <w:rFonts w:hint="default" w:ascii="Times New Roman" w:hAnsi="Times New Roman" w:eastAsia="Times New Roman" w:cs="Times New Roman"/>
                <w:color w:val="auto"/>
                <w:sz w:val="24"/>
                <w:szCs w:val="24"/>
                <w:highlight w:val="none"/>
                <w:vertAlign w:val="superscript"/>
              </w:rPr>
              <w:t>***</w:t>
            </w:r>
          </w:p>
        </w:tc>
        <w:tc>
          <w:tcPr>
            <w:tcW w:w="796" w:type="dxa"/>
            <w:tcBorders>
              <w:top w:val="single" w:color="auto" w:sz="4" w:space="0"/>
              <w:left w:val="nil"/>
              <w:bottom w:val="nil"/>
              <w:right w:val="nil"/>
            </w:tcBorders>
            <w:shd w:val="clear" w:color="auto" w:fill="auto"/>
            <w:vAlign w:val="center"/>
          </w:tcPr>
          <w:p w14:paraId="31F09624">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-0.0142</w:t>
            </w:r>
            <w:r>
              <w:rPr>
                <w:rFonts w:hint="default" w:ascii="Times New Roman" w:hAnsi="Times New Roman" w:eastAsia="Times New Roman" w:cs="Times New Roman"/>
                <w:color w:val="auto"/>
                <w:sz w:val="24"/>
                <w:szCs w:val="24"/>
                <w:highlight w:val="none"/>
                <w:vertAlign w:val="superscript"/>
              </w:rPr>
              <w:t>***</w:t>
            </w:r>
          </w:p>
        </w:tc>
        <w:tc>
          <w:tcPr>
            <w:tcW w:w="791" w:type="dxa"/>
            <w:tcBorders>
              <w:top w:val="single" w:color="auto" w:sz="4" w:space="0"/>
              <w:left w:val="nil"/>
              <w:bottom w:val="nil"/>
              <w:right w:val="nil"/>
            </w:tcBorders>
            <w:shd w:val="clear" w:color="auto" w:fill="auto"/>
            <w:vAlign w:val="center"/>
          </w:tcPr>
          <w:p w14:paraId="6A4F6574">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-0.009</w:t>
            </w:r>
            <w:r>
              <w:rPr>
                <w:rFonts w:hint="default" w:ascii="Times New Roman" w:hAnsi="Times New Roman" w:eastAsia="Times New Roman" w:cs="Times New Roman"/>
                <w:color w:val="auto"/>
                <w:kern w:val="2"/>
                <w:sz w:val="24"/>
                <w:szCs w:val="24"/>
                <w:highlight w:val="none"/>
                <w:lang w:val="en-US" w:eastAsia="zh-CN"/>
              </w:rPr>
              <w:t>5</w:t>
            </w:r>
            <w:r>
              <w:rPr>
                <w:rFonts w:hint="default" w:ascii="Times New Roman" w:hAnsi="Times New Roman" w:eastAsia="Times New Roman" w:cs="Times New Roman"/>
                <w:color w:val="auto"/>
                <w:sz w:val="24"/>
                <w:szCs w:val="24"/>
                <w:highlight w:val="none"/>
                <w:vertAlign w:val="superscript"/>
              </w:rPr>
              <w:t>***</w:t>
            </w:r>
          </w:p>
        </w:tc>
        <w:tc>
          <w:tcPr>
            <w:tcW w:w="735" w:type="dxa"/>
            <w:tcBorders>
              <w:top w:val="single" w:color="auto" w:sz="4" w:space="0"/>
              <w:left w:val="nil"/>
              <w:bottom w:val="nil"/>
              <w:right w:val="nil"/>
            </w:tcBorders>
            <w:shd w:val="clear" w:color="auto" w:fill="auto"/>
            <w:vAlign w:val="center"/>
          </w:tcPr>
          <w:p w14:paraId="4DC7DAD5">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-0.0140</w:t>
            </w:r>
            <w:r>
              <w:rPr>
                <w:rFonts w:hint="default" w:ascii="Times New Roman" w:hAnsi="Times New Roman" w:eastAsia="Times New Roman" w:cs="Times New Roman"/>
                <w:color w:val="auto"/>
                <w:sz w:val="24"/>
                <w:szCs w:val="24"/>
                <w:highlight w:val="none"/>
                <w:vertAlign w:val="superscript"/>
              </w:rPr>
              <w:t>***</w:t>
            </w:r>
          </w:p>
        </w:tc>
        <w:tc>
          <w:tcPr>
            <w:tcW w:w="735" w:type="dxa"/>
            <w:tcBorders>
              <w:top w:val="single" w:color="auto" w:sz="4" w:space="0"/>
              <w:left w:val="nil"/>
              <w:bottom w:val="nil"/>
              <w:right w:val="nil"/>
            </w:tcBorders>
            <w:shd w:val="clear" w:color="auto" w:fill="auto"/>
            <w:vAlign w:val="center"/>
          </w:tcPr>
          <w:p w14:paraId="65B9623B">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-0.0132</w:t>
            </w:r>
            <w:r>
              <w:rPr>
                <w:rFonts w:hint="default" w:ascii="Times New Roman" w:hAnsi="Times New Roman" w:eastAsia="Times New Roman" w:cs="Times New Roman"/>
                <w:color w:val="auto"/>
                <w:sz w:val="24"/>
                <w:szCs w:val="24"/>
                <w:highlight w:val="none"/>
                <w:vertAlign w:val="superscript"/>
              </w:rPr>
              <w:t>***</w:t>
            </w:r>
          </w:p>
        </w:tc>
        <w:tc>
          <w:tcPr>
            <w:tcW w:w="735" w:type="dxa"/>
            <w:tcBorders>
              <w:top w:val="single" w:color="auto" w:sz="4" w:space="0"/>
              <w:left w:val="nil"/>
              <w:bottom w:val="nil"/>
              <w:right w:val="nil"/>
            </w:tcBorders>
            <w:shd w:val="clear" w:color="auto" w:fill="auto"/>
            <w:vAlign w:val="center"/>
          </w:tcPr>
          <w:p w14:paraId="40445ACB">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-0.0143</w:t>
            </w:r>
            <w:r>
              <w:rPr>
                <w:rFonts w:hint="default" w:ascii="Times New Roman" w:hAnsi="Times New Roman" w:eastAsia="Times New Roman" w:cs="Times New Roman"/>
                <w:color w:val="auto"/>
                <w:sz w:val="24"/>
                <w:szCs w:val="24"/>
                <w:highlight w:val="none"/>
                <w:vertAlign w:val="superscript"/>
              </w:rPr>
              <w:t>***</w:t>
            </w:r>
          </w:p>
        </w:tc>
      </w:tr>
      <w:tr w14:paraId="01B78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7" w:type="dxa"/>
            <w:tcBorders>
              <w:top w:val="nil"/>
              <w:left w:val="nil"/>
              <w:bottom w:val="nil"/>
              <w:right w:val="nil"/>
            </w:tcBorders>
            <w:shd w:val="clear" w:color="auto" w:fill="auto"/>
            <w:vAlign w:val="center"/>
          </w:tcPr>
          <w:p w14:paraId="2493E5EA">
            <w:pPr>
              <w:snapToGrid w:val="0"/>
              <w:spacing w:after="0" w:line="240" w:lineRule="auto"/>
              <w:ind w:left="0" w:leftChars="0" w:right="0" w:rightChars="0" w:firstLine="0" w:firstLineChars="0"/>
              <w:jc w:val="center"/>
              <w:rPr>
                <w:rFonts w:hint="default" w:ascii="Times New Roman" w:hAnsi="Times New Roman" w:eastAsia="Times New Roman" w:cs="Times New Roman"/>
                <w:i/>
                <w:iCs/>
                <w:color w:val="auto"/>
                <w:sz w:val="24"/>
                <w:szCs w:val="24"/>
                <w:highlight w:val="none"/>
                <w:lang w:val="en-US" w:eastAsia="zh-CN" w:bidi="ar-SA"/>
              </w:rPr>
            </w:pPr>
          </w:p>
        </w:tc>
        <w:tc>
          <w:tcPr>
            <w:tcW w:w="735" w:type="dxa"/>
            <w:tcBorders>
              <w:top w:val="nil"/>
              <w:left w:val="nil"/>
              <w:bottom w:val="nil"/>
              <w:right w:val="nil"/>
            </w:tcBorders>
            <w:shd w:val="clear" w:color="auto" w:fill="auto"/>
            <w:vAlign w:val="center"/>
          </w:tcPr>
          <w:p w14:paraId="0CB71C13">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(0.0251)</w:t>
            </w:r>
          </w:p>
        </w:tc>
        <w:tc>
          <w:tcPr>
            <w:tcW w:w="735" w:type="dxa"/>
            <w:tcBorders>
              <w:top w:val="nil"/>
              <w:left w:val="nil"/>
              <w:bottom w:val="nil"/>
              <w:right w:val="nil"/>
            </w:tcBorders>
            <w:shd w:val="clear" w:color="auto" w:fill="auto"/>
            <w:vAlign w:val="center"/>
          </w:tcPr>
          <w:p w14:paraId="25E1A331">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(0.00423)</w:t>
            </w:r>
          </w:p>
        </w:tc>
        <w:tc>
          <w:tcPr>
            <w:tcW w:w="796" w:type="dxa"/>
            <w:tcBorders>
              <w:top w:val="nil"/>
              <w:left w:val="nil"/>
              <w:bottom w:val="nil"/>
              <w:right w:val="nil"/>
            </w:tcBorders>
            <w:shd w:val="clear" w:color="auto" w:fill="auto"/>
            <w:vAlign w:val="center"/>
          </w:tcPr>
          <w:p w14:paraId="4DBC253F">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rPr>
            </w:pPr>
          </w:p>
        </w:tc>
        <w:tc>
          <w:tcPr>
            <w:tcW w:w="735" w:type="dxa"/>
            <w:tcBorders>
              <w:top w:val="nil"/>
              <w:left w:val="nil"/>
              <w:bottom w:val="nil"/>
              <w:right w:val="nil"/>
            </w:tcBorders>
            <w:shd w:val="clear" w:color="auto" w:fill="auto"/>
            <w:vAlign w:val="center"/>
          </w:tcPr>
          <w:p w14:paraId="7EC27B8B">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(0.00329)</w:t>
            </w:r>
          </w:p>
        </w:tc>
        <w:tc>
          <w:tcPr>
            <w:tcW w:w="796" w:type="dxa"/>
            <w:tcBorders>
              <w:top w:val="nil"/>
              <w:left w:val="nil"/>
              <w:bottom w:val="nil"/>
              <w:right w:val="nil"/>
            </w:tcBorders>
            <w:shd w:val="clear" w:color="auto" w:fill="auto"/>
            <w:vAlign w:val="center"/>
          </w:tcPr>
          <w:p w14:paraId="23AE13A6">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(0.00288)</w:t>
            </w:r>
          </w:p>
        </w:tc>
        <w:tc>
          <w:tcPr>
            <w:tcW w:w="796" w:type="dxa"/>
            <w:tcBorders>
              <w:top w:val="nil"/>
              <w:left w:val="nil"/>
              <w:bottom w:val="nil"/>
              <w:right w:val="nil"/>
            </w:tcBorders>
            <w:shd w:val="clear" w:color="auto" w:fill="auto"/>
            <w:vAlign w:val="center"/>
          </w:tcPr>
          <w:p w14:paraId="2A386191">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(0.00296)</w:t>
            </w:r>
          </w:p>
        </w:tc>
        <w:tc>
          <w:tcPr>
            <w:tcW w:w="791" w:type="dxa"/>
            <w:tcBorders>
              <w:top w:val="nil"/>
              <w:left w:val="nil"/>
              <w:bottom w:val="nil"/>
              <w:right w:val="nil"/>
            </w:tcBorders>
            <w:shd w:val="clear" w:color="auto" w:fill="auto"/>
            <w:vAlign w:val="center"/>
          </w:tcPr>
          <w:p w14:paraId="2CD0118C">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(0.00319)</w:t>
            </w:r>
          </w:p>
        </w:tc>
        <w:tc>
          <w:tcPr>
            <w:tcW w:w="735" w:type="dxa"/>
            <w:tcBorders>
              <w:top w:val="nil"/>
              <w:left w:val="nil"/>
              <w:bottom w:val="nil"/>
              <w:right w:val="nil"/>
            </w:tcBorders>
            <w:shd w:val="clear" w:color="auto" w:fill="auto"/>
            <w:vAlign w:val="center"/>
          </w:tcPr>
          <w:p w14:paraId="56B1F159">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(0.00327)</w:t>
            </w:r>
          </w:p>
        </w:tc>
        <w:tc>
          <w:tcPr>
            <w:tcW w:w="735" w:type="dxa"/>
            <w:tcBorders>
              <w:top w:val="nil"/>
              <w:left w:val="nil"/>
              <w:bottom w:val="nil"/>
              <w:right w:val="nil"/>
            </w:tcBorders>
            <w:shd w:val="clear" w:color="auto" w:fill="auto"/>
            <w:vAlign w:val="center"/>
          </w:tcPr>
          <w:p w14:paraId="37778A0C">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(0.00333)</w:t>
            </w:r>
          </w:p>
        </w:tc>
        <w:tc>
          <w:tcPr>
            <w:tcW w:w="735" w:type="dxa"/>
            <w:tcBorders>
              <w:top w:val="nil"/>
              <w:left w:val="nil"/>
              <w:bottom w:val="nil"/>
              <w:right w:val="nil"/>
            </w:tcBorders>
            <w:shd w:val="clear" w:color="auto" w:fill="auto"/>
            <w:vAlign w:val="center"/>
          </w:tcPr>
          <w:p w14:paraId="310D192B">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(0.00370)</w:t>
            </w:r>
          </w:p>
        </w:tc>
      </w:tr>
      <w:tr w14:paraId="2B3F9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7" w:type="dxa"/>
            <w:tcBorders>
              <w:top w:val="nil"/>
              <w:left w:val="nil"/>
              <w:bottom w:val="nil"/>
              <w:right w:val="nil"/>
            </w:tcBorders>
            <w:shd w:val="clear" w:color="auto" w:fill="auto"/>
            <w:vAlign w:val="center"/>
          </w:tcPr>
          <w:p w14:paraId="77D60103">
            <w:pPr>
              <w:snapToGrid w:val="0"/>
              <w:spacing w:after="0" w:line="240" w:lineRule="auto"/>
              <w:jc w:val="center"/>
              <w:rPr>
                <w:rFonts w:hint="default" w:ascii="Times New Roman" w:hAnsi="Times New Roman" w:eastAsia="Times New Roman" w:cs="Times New Roman"/>
                <w:i/>
                <w:iCs/>
                <w:color w:val="auto"/>
                <w:sz w:val="24"/>
                <w:szCs w:val="24"/>
                <w:highlight w:val="none"/>
                <w:lang w:val="en-US" w:eastAsia="zh-CN" w:bidi="ar-SA"/>
              </w:rPr>
            </w:pPr>
            <w:r>
              <w:rPr>
                <w:rFonts w:hint="default" w:ascii="Times New Roman" w:hAnsi="Times New Roman" w:eastAsia="Times New Roman" w:cs="Times New Roman"/>
                <w:i/>
                <w:iCs/>
                <w:color w:val="auto"/>
                <w:sz w:val="24"/>
                <w:szCs w:val="24"/>
                <w:highlight w:val="none"/>
                <w:lang w:val="en-US" w:eastAsia="zh-CN"/>
              </w:rPr>
              <w:t>lnPatents</w:t>
            </w:r>
          </w:p>
        </w:tc>
        <w:tc>
          <w:tcPr>
            <w:tcW w:w="735" w:type="dxa"/>
            <w:tcBorders>
              <w:top w:val="nil"/>
              <w:left w:val="nil"/>
              <w:bottom w:val="nil"/>
              <w:right w:val="nil"/>
            </w:tcBorders>
            <w:shd w:val="clear" w:color="auto" w:fill="auto"/>
            <w:vAlign w:val="center"/>
          </w:tcPr>
          <w:p w14:paraId="7FF69F3A">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p>
        </w:tc>
        <w:tc>
          <w:tcPr>
            <w:tcW w:w="735" w:type="dxa"/>
            <w:tcBorders>
              <w:top w:val="nil"/>
              <w:left w:val="nil"/>
              <w:bottom w:val="nil"/>
              <w:right w:val="nil"/>
            </w:tcBorders>
            <w:shd w:val="clear" w:color="auto" w:fill="auto"/>
            <w:vAlign w:val="center"/>
          </w:tcPr>
          <w:p w14:paraId="10C253DA">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p>
        </w:tc>
        <w:tc>
          <w:tcPr>
            <w:tcW w:w="796" w:type="dxa"/>
            <w:tcBorders>
              <w:top w:val="nil"/>
              <w:left w:val="nil"/>
              <w:bottom w:val="nil"/>
              <w:right w:val="nil"/>
            </w:tcBorders>
            <w:shd w:val="clear" w:color="auto" w:fill="auto"/>
            <w:vAlign w:val="center"/>
          </w:tcPr>
          <w:p w14:paraId="0D111CE5">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rPr>
            </w:pPr>
            <w:r>
              <w:rPr>
                <w:rFonts w:hint="default" w:ascii="Times New Roman" w:hAnsi="Times New Roman" w:eastAsia="Times New Roman" w:cs="Times New Roman"/>
                <w:color w:val="auto"/>
                <w:sz w:val="24"/>
                <w:szCs w:val="24"/>
                <w:highlight w:val="none"/>
              </w:rPr>
              <w:t>-0.0108</w:t>
            </w:r>
            <w:r>
              <w:rPr>
                <w:rFonts w:hint="default" w:ascii="Times New Roman" w:hAnsi="Times New Roman" w:eastAsia="Times New Roman" w:cs="Times New Roman"/>
                <w:color w:val="auto"/>
                <w:sz w:val="24"/>
                <w:szCs w:val="24"/>
                <w:highlight w:val="none"/>
                <w:vertAlign w:val="superscript"/>
              </w:rPr>
              <w:t>***</w:t>
            </w:r>
          </w:p>
        </w:tc>
        <w:tc>
          <w:tcPr>
            <w:tcW w:w="735" w:type="dxa"/>
            <w:tcBorders>
              <w:top w:val="nil"/>
              <w:left w:val="nil"/>
              <w:bottom w:val="nil"/>
              <w:right w:val="nil"/>
            </w:tcBorders>
            <w:shd w:val="clear" w:color="auto" w:fill="auto"/>
            <w:vAlign w:val="center"/>
          </w:tcPr>
          <w:p w14:paraId="523A87A3">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96" w:type="dxa"/>
            <w:tcBorders>
              <w:top w:val="nil"/>
              <w:left w:val="nil"/>
              <w:bottom w:val="nil"/>
              <w:right w:val="nil"/>
            </w:tcBorders>
            <w:shd w:val="clear" w:color="auto" w:fill="auto"/>
            <w:vAlign w:val="center"/>
          </w:tcPr>
          <w:p w14:paraId="5369E523">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96" w:type="dxa"/>
            <w:tcBorders>
              <w:top w:val="nil"/>
              <w:left w:val="nil"/>
              <w:bottom w:val="nil"/>
              <w:right w:val="nil"/>
            </w:tcBorders>
            <w:shd w:val="clear" w:color="auto" w:fill="auto"/>
            <w:vAlign w:val="center"/>
          </w:tcPr>
          <w:p w14:paraId="7576F5C9">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91" w:type="dxa"/>
            <w:tcBorders>
              <w:top w:val="nil"/>
              <w:left w:val="nil"/>
              <w:bottom w:val="nil"/>
              <w:right w:val="nil"/>
            </w:tcBorders>
            <w:shd w:val="clear" w:color="auto" w:fill="auto"/>
            <w:vAlign w:val="center"/>
          </w:tcPr>
          <w:p w14:paraId="372B072D">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35" w:type="dxa"/>
            <w:tcBorders>
              <w:top w:val="nil"/>
              <w:left w:val="nil"/>
              <w:bottom w:val="nil"/>
              <w:right w:val="nil"/>
            </w:tcBorders>
            <w:shd w:val="clear" w:color="auto" w:fill="auto"/>
            <w:vAlign w:val="center"/>
          </w:tcPr>
          <w:p w14:paraId="4AF0F70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c>
          <w:tcPr>
            <w:tcW w:w="735" w:type="dxa"/>
            <w:tcBorders>
              <w:top w:val="nil"/>
              <w:left w:val="nil"/>
              <w:bottom w:val="nil"/>
              <w:right w:val="nil"/>
            </w:tcBorders>
            <w:shd w:val="clear" w:color="auto" w:fill="auto"/>
            <w:vAlign w:val="center"/>
          </w:tcPr>
          <w:p w14:paraId="7EA7D12B">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c>
          <w:tcPr>
            <w:tcW w:w="735" w:type="dxa"/>
            <w:tcBorders>
              <w:top w:val="nil"/>
              <w:left w:val="nil"/>
              <w:bottom w:val="nil"/>
              <w:right w:val="nil"/>
            </w:tcBorders>
            <w:shd w:val="clear" w:color="auto" w:fill="auto"/>
            <w:vAlign w:val="center"/>
          </w:tcPr>
          <w:p w14:paraId="79A8107F">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r>
      <w:tr w14:paraId="4EFEC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7" w:type="dxa"/>
            <w:tcBorders>
              <w:top w:val="nil"/>
              <w:left w:val="nil"/>
              <w:bottom w:val="nil"/>
              <w:right w:val="nil"/>
            </w:tcBorders>
            <w:shd w:val="clear" w:color="auto" w:fill="auto"/>
            <w:vAlign w:val="center"/>
          </w:tcPr>
          <w:p w14:paraId="0E408D32">
            <w:pPr>
              <w:snapToGrid w:val="0"/>
              <w:spacing w:after="0" w:line="240" w:lineRule="auto"/>
              <w:ind w:left="0" w:leftChars="0" w:right="0" w:rightChars="0" w:firstLine="0" w:firstLineChars="0"/>
              <w:jc w:val="center"/>
              <w:rPr>
                <w:rFonts w:hint="default" w:ascii="Times New Roman" w:hAnsi="Times New Roman" w:eastAsia="Times New Roman" w:cs="Times New Roman"/>
                <w:i/>
                <w:iCs/>
                <w:color w:val="auto"/>
                <w:sz w:val="24"/>
                <w:szCs w:val="24"/>
                <w:highlight w:val="none"/>
                <w:lang w:val="en-US" w:eastAsia="zh-CN" w:bidi="ar-SA"/>
              </w:rPr>
            </w:pPr>
          </w:p>
        </w:tc>
        <w:tc>
          <w:tcPr>
            <w:tcW w:w="735" w:type="dxa"/>
            <w:tcBorders>
              <w:top w:val="nil"/>
              <w:left w:val="nil"/>
              <w:bottom w:val="nil"/>
              <w:right w:val="nil"/>
            </w:tcBorders>
            <w:shd w:val="clear" w:color="auto" w:fill="auto"/>
            <w:vAlign w:val="center"/>
          </w:tcPr>
          <w:p w14:paraId="5C7B7E24">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p>
        </w:tc>
        <w:tc>
          <w:tcPr>
            <w:tcW w:w="735" w:type="dxa"/>
            <w:tcBorders>
              <w:top w:val="nil"/>
              <w:left w:val="nil"/>
              <w:bottom w:val="nil"/>
              <w:right w:val="nil"/>
            </w:tcBorders>
            <w:shd w:val="clear" w:color="auto" w:fill="auto"/>
            <w:vAlign w:val="center"/>
          </w:tcPr>
          <w:p w14:paraId="3C4C02AB">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p>
        </w:tc>
        <w:tc>
          <w:tcPr>
            <w:tcW w:w="796" w:type="dxa"/>
            <w:tcBorders>
              <w:top w:val="nil"/>
              <w:left w:val="nil"/>
              <w:bottom w:val="nil"/>
              <w:right w:val="nil"/>
            </w:tcBorders>
            <w:shd w:val="clear" w:color="auto" w:fill="auto"/>
            <w:vAlign w:val="center"/>
          </w:tcPr>
          <w:p w14:paraId="309291DB">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rPr>
            </w:pPr>
            <w:r>
              <w:rPr>
                <w:rFonts w:hint="default" w:ascii="Times New Roman" w:hAnsi="Times New Roman" w:eastAsia="Times New Roman" w:cs="Times New Roman"/>
                <w:color w:val="auto"/>
                <w:sz w:val="24"/>
                <w:szCs w:val="24"/>
                <w:highlight w:val="none"/>
              </w:rPr>
              <w:t>(0.00167)</w:t>
            </w:r>
          </w:p>
        </w:tc>
        <w:tc>
          <w:tcPr>
            <w:tcW w:w="735" w:type="dxa"/>
            <w:tcBorders>
              <w:top w:val="nil"/>
              <w:left w:val="nil"/>
              <w:bottom w:val="nil"/>
              <w:right w:val="nil"/>
            </w:tcBorders>
            <w:shd w:val="clear" w:color="auto" w:fill="auto"/>
            <w:vAlign w:val="center"/>
          </w:tcPr>
          <w:p w14:paraId="53FF3724">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96" w:type="dxa"/>
            <w:tcBorders>
              <w:top w:val="nil"/>
              <w:left w:val="nil"/>
              <w:bottom w:val="nil"/>
              <w:right w:val="nil"/>
            </w:tcBorders>
            <w:shd w:val="clear" w:color="auto" w:fill="auto"/>
            <w:vAlign w:val="center"/>
          </w:tcPr>
          <w:p w14:paraId="42B95827">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96" w:type="dxa"/>
            <w:tcBorders>
              <w:top w:val="nil"/>
              <w:left w:val="nil"/>
              <w:bottom w:val="nil"/>
              <w:right w:val="nil"/>
            </w:tcBorders>
            <w:shd w:val="clear" w:color="auto" w:fill="auto"/>
            <w:vAlign w:val="center"/>
          </w:tcPr>
          <w:p w14:paraId="3ABF8045">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91" w:type="dxa"/>
            <w:tcBorders>
              <w:top w:val="nil"/>
              <w:left w:val="nil"/>
              <w:bottom w:val="nil"/>
              <w:right w:val="nil"/>
            </w:tcBorders>
            <w:shd w:val="clear" w:color="auto" w:fill="auto"/>
            <w:vAlign w:val="center"/>
          </w:tcPr>
          <w:p w14:paraId="06F64740">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35" w:type="dxa"/>
            <w:tcBorders>
              <w:top w:val="nil"/>
              <w:left w:val="nil"/>
              <w:bottom w:val="nil"/>
              <w:right w:val="nil"/>
            </w:tcBorders>
            <w:shd w:val="clear" w:color="auto" w:fill="auto"/>
            <w:vAlign w:val="center"/>
          </w:tcPr>
          <w:p w14:paraId="3D556F13">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c>
          <w:tcPr>
            <w:tcW w:w="735" w:type="dxa"/>
            <w:tcBorders>
              <w:top w:val="nil"/>
              <w:left w:val="nil"/>
              <w:bottom w:val="nil"/>
              <w:right w:val="nil"/>
            </w:tcBorders>
            <w:shd w:val="clear" w:color="auto" w:fill="auto"/>
            <w:vAlign w:val="center"/>
          </w:tcPr>
          <w:p w14:paraId="0FBA6692">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c>
          <w:tcPr>
            <w:tcW w:w="735" w:type="dxa"/>
            <w:tcBorders>
              <w:top w:val="nil"/>
              <w:left w:val="nil"/>
              <w:bottom w:val="nil"/>
              <w:right w:val="nil"/>
            </w:tcBorders>
            <w:shd w:val="clear" w:color="auto" w:fill="auto"/>
            <w:vAlign w:val="center"/>
          </w:tcPr>
          <w:p w14:paraId="65907A6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r>
      <w:tr w14:paraId="1C92D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7" w:type="dxa"/>
            <w:tcBorders>
              <w:top w:val="nil"/>
              <w:left w:val="nil"/>
              <w:bottom w:val="nil"/>
              <w:right w:val="nil"/>
            </w:tcBorders>
            <w:shd w:val="clear" w:color="auto" w:fill="auto"/>
            <w:vAlign w:val="center"/>
          </w:tcPr>
          <w:p w14:paraId="2D08C1D1">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i/>
                <w:iCs/>
                <w:color w:val="auto"/>
                <w:sz w:val="24"/>
                <w:szCs w:val="24"/>
                <w:highlight w:val="none"/>
              </w:rPr>
              <w:t>_cons</w:t>
            </w:r>
          </w:p>
        </w:tc>
        <w:tc>
          <w:tcPr>
            <w:tcW w:w="735" w:type="dxa"/>
            <w:tcBorders>
              <w:top w:val="nil"/>
              <w:left w:val="nil"/>
              <w:bottom w:val="nil"/>
              <w:right w:val="nil"/>
            </w:tcBorders>
            <w:shd w:val="clear" w:color="auto" w:fill="auto"/>
            <w:vAlign w:val="center"/>
          </w:tcPr>
          <w:p w14:paraId="6BE77ACB">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5.347</w:t>
            </w:r>
            <w:r>
              <w:rPr>
                <w:rFonts w:hint="default" w:ascii="Times New Roman" w:hAnsi="Times New Roman" w:eastAsia="Times New Roman" w:cs="Times New Roman"/>
                <w:color w:val="auto"/>
                <w:sz w:val="24"/>
                <w:szCs w:val="24"/>
                <w:highlight w:val="none"/>
                <w:vertAlign w:val="superscript"/>
              </w:rPr>
              <w:t>***</w:t>
            </w:r>
          </w:p>
        </w:tc>
        <w:tc>
          <w:tcPr>
            <w:tcW w:w="735" w:type="dxa"/>
            <w:tcBorders>
              <w:top w:val="nil"/>
              <w:left w:val="nil"/>
              <w:bottom w:val="nil"/>
              <w:right w:val="nil"/>
            </w:tcBorders>
            <w:shd w:val="clear" w:color="auto" w:fill="auto"/>
            <w:vAlign w:val="center"/>
          </w:tcPr>
          <w:p w14:paraId="22D9D86D">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1.116</w:t>
            </w:r>
            <w:r>
              <w:rPr>
                <w:rFonts w:hint="default" w:ascii="Times New Roman" w:hAnsi="Times New Roman" w:eastAsia="Times New Roman" w:cs="Times New Roman"/>
                <w:color w:val="auto"/>
                <w:sz w:val="24"/>
                <w:szCs w:val="24"/>
                <w:highlight w:val="none"/>
                <w:vertAlign w:val="superscript"/>
              </w:rPr>
              <w:t>***</w:t>
            </w:r>
          </w:p>
        </w:tc>
        <w:tc>
          <w:tcPr>
            <w:tcW w:w="796" w:type="dxa"/>
            <w:tcBorders>
              <w:top w:val="nil"/>
              <w:left w:val="nil"/>
              <w:bottom w:val="nil"/>
              <w:right w:val="nil"/>
            </w:tcBorders>
            <w:shd w:val="clear" w:color="auto" w:fill="auto"/>
            <w:vAlign w:val="center"/>
          </w:tcPr>
          <w:p w14:paraId="6C8264C4">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rPr>
            </w:pPr>
            <w:r>
              <w:rPr>
                <w:rFonts w:hint="default" w:ascii="Times New Roman" w:hAnsi="Times New Roman" w:eastAsia="Times New Roman" w:cs="Times New Roman"/>
                <w:color w:val="auto"/>
                <w:sz w:val="24"/>
                <w:szCs w:val="24"/>
                <w:highlight w:val="none"/>
              </w:rPr>
              <w:t>1.720</w:t>
            </w:r>
            <w:r>
              <w:rPr>
                <w:rFonts w:hint="default" w:ascii="Times New Roman" w:hAnsi="Times New Roman" w:eastAsia="Times New Roman" w:cs="Times New Roman"/>
                <w:color w:val="auto"/>
                <w:sz w:val="24"/>
                <w:szCs w:val="24"/>
                <w:highlight w:val="none"/>
                <w:vertAlign w:val="superscript"/>
              </w:rPr>
              <w:t>***</w:t>
            </w:r>
          </w:p>
        </w:tc>
        <w:tc>
          <w:tcPr>
            <w:tcW w:w="735" w:type="dxa"/>
            <w:tcBorders>
              <w:top w:val="nil"/>
              <w:left w:val="nil"/>
              <w:bottom w:val="nil"/>
              <w:right w:val="nil"/>
            </w:tcBorders>
            <w:shd w:val="clear" w:color="auto" w:fill="auto"/>
            <w:vAlign w:val="center"/>
          </w:tcPr>
          <w:p w14:paraId="551A25C0">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1.698</w:t>
            </w:r>
            <w:r>
              <w:rPr>
                <w:rFonts w:hint="default" w:ascii="Times New Roman" w:hAnsi="Times New Roman" w:eastAsia="Times New Roman" w:cs="Times New Roman"/>
                <w:color w:val="auto"/>
                <w:sz w:val="24"/>
                <w:szCs w:val="24"/>
                <w:highlight w:val="none"/>
                <w:vertAlign w:val="superscript"/>
              </w:rPr>
              <w:t>***</w:t>
            </w:r>
          </w:p>
        </w:tc>
        <w:tc>
          <w:tcPr>
            <w:tcW w:w="796" w:type="dxa"/>
            <w:tcBorders>
              <w:top w:val="nil"/>
              <w:left w:val="nil"/>
              <w:bottom w:val="nil"/>
              <w:right w:val="nil"/>
            </w:tcBorders>
            <w:shd w:val="clear" w:color="auto" w:fill="auto"/>
            <w:vAlign w:val="center"/>
          </w:tcPr>
          <w:p w14:paraId="3867C450">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1.787</w:t>
            </w:r>
            <w:r>
              <w:rPr>
                <w:rFonts w:hint="default" w:ascii="Times New Roman" w:hAnsi="Times New Roman" w:eastAsia="Times New Roman" w:cs="Times New Roman"/>
                <w:color w:val="auto"/>
                <w:kern w:val="2"/>
                <w:sz w:val="24"/>
                <w:szCs w:val="24"/>
                <w:highlight w:val="none"/>
                <w:vertAlign w:val="superscript"/>
              </w:rPr>
              <w:t>***</w:t>
            </w:r>
          </w:p>
        </w:tc>
        <w:tc>
          <w:tcPr>
            <w:tcW w:w="796" w:type="dxa"/>
            <w:tcBorders>
              <w:top w:val="nil"/>
              <w:left w:val="nil"/>
              <w:bottom w:val="nil"/>
              <w:right w:val="nil"/>
            </w:tcBorders>
            <w:shd w:val="clear" w:color="auto" w:fill="auto"/>
            <w:vAlign w:val="center"/>
          </w:tcPr>
          <w:p w14:paraId="7DD40B66">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1.767</w:t>
            </w:r>
            <w:r>
              <w:rPr>
                <w:rFonts w:hint="default" w:ascii="Times New Roman" w:hAnsi="Times New Roman" w:eastAsia="Times New Roman" w:cs="Times New Roman"/>
                <w:color w:val="auto"/>
                <w:kern w:val="2"/>
                <w:sz w:val="24"/>
                <w:szCs w:val="24"/>
                <w:highlight w:val="none"/>
                <w:vertAlign w:val="superscript"/>
              </w:rPr>
              <w:t>***</w:t>
            </w:r>
          </w:p>
        </w:tc>
        <w:tc>
          <w:tcPr>
            <w:tcW w:w="791" w:type="dxa"/>
            <w:tcBorders>
              <w:top w:val="nil"/>
              <w:left w:val="nil"/>
              <w:bottom w:val="nil"/>
              <w:right w:val="nil"/>
            </w:tcBorders>
            <w:shd w:val="clear" w:color="auto" w:fill="auto"/>
            <w:vAlign w:val="center"/>
          </w:tcPr>
          <w:p w14:paraId="65DC3DD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1.805</w:t>
            </w:r>
            <w:r>
              <w:rPr>
                <w:rFonts w:hint="default" w:ascii="Times New Roman" w:hAnsi="Times New Roman" w:eastAsia="Times New Roman" w:cs="Times New Roman"/>
                <w:color w:val="auto"/>
                <w:kern w:val="2"/>
                <w:sz w:val="24"/>
                <w:szCs w:val="24"/>
                <w:highlight w:val="none"/>
                <w:vertAlign w:val="superscript"/>
              </w:rPr>
              <w:t>***</w:t>
            </w:r>
          </w:p>
        </w:tc>
        <w:tc>
          <w:tcPr>
            <w:tcW w:w="735" w:type="dxa"/>
            <w:tcBorders>
              <w:top w:val="nil"/>
              <w:left w:val="nil"/>
              <w:bottom w:val="nil"/>
              <w:right w:val="nil"/>
            </w:tcBorders>
            <w:shd w:val="clear" w:color="auto" w:fill="auto"/>
            <w:vAlign w:val="center"/>
          </w:tcPr>
          <w:p w14:paraId="796543C2">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1.699</w:t>
            </w:r>
            <w:r>
              <w:rPr>
                <w:rFonts w:hint="default" w:ascii="Times New Roman" w:hAnsi="Times New Roman" w:eastAsia="Times New Roman" w:cs="Times New Roman"/>
                <w:color w:val="auto"/>
                <w:kern w:val="2"/>
                <w:sz w:val="24"/>
                <w:szCs w:val="24"/>
                <w:highlight w:val="none"/>
                <w:vertAlign w:val="superscript"/>
              </w:rPr>
              <w:t>***</w:t>
            </w:r>
          </w:p>
        </w:tc>
        <w:tc>
          <w:tcPr>
            <w:tcW w:w="735" w:type="dxa"/>
            <w:tcBorders>
              <w:top w:val="nil"/>
              <w:left w:val="nil"/>
              <w:bottom w:val="nil"/>
              <w:right w:val="nil"/>
            </w:tcBorders>
            <w:shd w:val="clear" w:color="auto" w:fill="auto"/>
            <w:vAlign w:val="center"/>
          </w:tcPr>
          <w:p w14:paraId="225FCDC5">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1.712</w:t>
            </w:r>
            <w:r>
              <w:rPr>
                <w:rFonts w:hint="default" w:ascii="Times New Roman" w:hAnsi="Times New Roman" w:eastAsia="Times New Roman" w:cs="Times New Roman"/>
                <w:color w:val="auto"/>
                <w:kern w:val="2"/>
                <w:sz w:val="24"/>
                <w:szCs w:val="24"/>
                <w:highlight w:val="none"/>
                <w:vertAlign w:val="superscript"/>
              </w:rPr>
              <w:t>***</w:t>
            </w:r>
          </w:p>
        </w:tc>
        <w:tc>
          <w:tcPr>
            <w:tcW w:w="735" w:type="dxa"/>
            <w:tcBorders>
              <w:top w:val="nil"/>
              <w:left w:val="nil"/>
              <w:bottom w:val="nil"/>
              <w:right w:val="nil"/>
            </w:tcBorders>
            <w:shd w:val="clear" w:color="auto" w:fill="auto"/>
            <w:vAlign w:val="center"/>
          </w:tcPr>
          <w:p w14:paraId="03A42F77">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1.695</w:t>
            </w:r>
            <w:r>
              <w:rPr>
                <w:rFonts w:hint="default" w:ascii="Times New Roman" w:hAnsi="Times New Roman" w:eastAsia="Times New Roman" w:cs="Times New Roman"/>
                <w:color w:val="auto"/>
                <w:kern w:val="2"/>
                <w:sz w:val="24"/>
                <w:szCs w:val="24"/>
                <w:highlight w:val="none"/>
                <w:vertAlign w:val="superscript"/>
              </w:rPr>
              <w:t>***</w:t>
            </w:r>
          </w:p>
        </w:tc>
      </w:tr>
      <w:tr w14:paraId="058E4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7" w:type="dxa"/>
            <w:tcBorders>
              <w:top w:val="nil"/>
              <w:left w:val="nil"/>
              <w:bottom w:val="single" w:color="auto" w:sz="4" w:space="0"/>
              <w:right w:val="nil"/>
            </w:tcBorders>
            <w:shd w:val="clear" w:color="auto" w:fill="auto"/>
            <w:vAlign w:val="center"/>
          </w:tcPr>
          <w:p w14:paraId="6CBFCB87">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p>
        </w:tc>
        <w:tc>
          <w:tcPr>
            <w:tcW w:w="735" w:type="dxa"/>
            <w:tcBorders>
              <w:top w:val="nil"/>
              <w:left w:val="nil"/>
              <w:bottom w:val="single" w:color="auto" w:sz="4" w:space="0"/>
              <w:right w:val="nil"/>
            </w:tcBorders>
            <w:shd w:val="clear" w:color="auto" w:fill="auto"/>
            <w:vAlign w:val="center"/>
          </w:tcPr>
          <w:p w14:paraId="3470E23B">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(0.141)</w:t>
            </w:r>
          </w:p>
        </w:tc>
        <w:tc>
          <w:tcPr>
            <w:tcW w:w="735" w:type="dxa"/>
            <w:tcBorders>
              <w:top w:val="nil"/>
              <w:left w:val="nil"/>
              <w:bottom w:val="single" w:color="auto" w:sz="4" w:space="0"/>
              <w:right w:val="nil"/>
            </w:tcBorders>
            <w:shd w:val="clear" w:color="auto" w:fill="auto"/>
            <w:vAlign w:val="center"/>
          </w:tcPr>
          <w:p w14:paraId="2811D9F0">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(0.0251)</w:t>
            </w:r>
          </w:p>
        </w:tc>
        <w:tc>
          <w:tcPr>
            <w:tcW w:w="796" w:type="dxa"/>
            <w:tcBorders>
              <w:top w:val="nil"/>
              <w:left w:val="nil"/>
              <w:bottom w:val="single" w:color="auto" w:sz="4" w:space="0"/>
              <w:right w:val="nil"/>
            </w:tcBorders>
            <w:shd w:val="clear" w:color="auto" w:fill="auto"/>
            <w:vAlign w:val="center"/>
          </w:tcPr>
          <w:p w14:paraId="24023495">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rPr>
            </w:pPr>
            <w:r>
              <w:rPr>
                <w:rFonts w:hint="default" w:ascii="Times New Roman" w:hAnsi="Times New Roman" w:eastAsia="Times New Roman" w:cs="Times New Roman"/>
                <w:color w:val="auto"/>
                <w:sz w:val="24"/>
                <w:szCs w:val="24"/>
                <w:highlight w:val="none"/>
              </w:rPr>
              <w:t>(0.0229)</w:t>
            </w:r>
          </w:p>
        </w:tc>
        <w:tc>
          <w:tcPr>
            <w:tcW w:w="735" w:type="dxa"/>
            <w:tcBorders>
              <w:top w:val="nil"/>
              <w:left w:val="nil"/>
              <w:bottom w:val="single" w:color="auto" w:sz="4" w:space="0"/>
              <w:right w:val="nil"/>
            </w:tcBorders>
            <w:shd w:val="clear" w:color="auto" w:fill="auto"/>
            <w:vAlign w:val="center"/>
          </w:tcPr>
          <w:p w14:paraId="6F9A00F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(0.0232)</w:t>
            </w:r>
          </w:p>
        </w:tc>
        <w:tc>
          <w:tcPr>
            <w:tcW w:w="796" w:type="dxa"/>
            <w:tcBorders>
              <w:top w:val="nil"/>
              <w:left w:val="nil"/>
              <w:bottom w:val="single" w:color="auto" w:sz="4" w:space="0"/>
              <w:right w:val="nil"/>
            </w:tcBorders>
            <w:shd w:val="clear" w:color="auto" w:fill="auto"/>
            <w:vAlign w:val="center"/>
          </w:tcPr>
          <w:p w14:paraId="1BA35EC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(0.0300)</w:t>
            </w:r>
          </w:p>
        </w:tc>
        <w:tc>
          <w:tcPr>
            <w:tcW w:w="796" w:type="dxa"/>
            <w:tcBorders>
              <w:top w:val="nil"/>
              <w:left w:val="nil"/>
              <w:bottom w:val="single" w:color="auto" w:sz="4" w:space="0"/>
              <w:right w:val="nil"/>
            </w:tcBorders>
            <w:shd w:val="clear" w:color="auto" w:fill="auto"/>
            <w:vAlign w:val="center"/>
          </w:tcPr>
          <w:p w14:paraId="5599DFF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(0.0276)</w:t>
            </w:r>
          </w:p>
        </w:tc>
        <w:tc>
          <w:tcPr>
            <w:tcW w:w="791" w:type="dxa"/>
            <w:tcBorders>
              <w:top w:val="nil"/>
              <w:left w:val="nil"/>
              <w:bottom w:val="single" w:color="auto" w:sz="4" w:space="0"/>
              <w:right w:val="nil"/>
            </w:tcBorders>
            <w:shd w:val="clear" w:color="auto" w:fill="auto"/>
            <w:vAlign w:val="center"/>
          </w:tcPr>
          <w:p w14:paraId="3C236A15">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(0.0328)</w:t>
            </w:r>
          </w:p>
        </w:tc>
        <w:tc>
          <w:tcPr>
            <w:tcW w:w="735" w:type="dxa"/>
            <w:tcBorders>
              <w:top w:val="nil"/>
              <w:left w:val="nil"/>
              <w:bottom w:val="single" w:color="auto" w:sz="4" w:space="0"/>
              <w:right w:val="nil"/>
            </w:tcBorders>
            <w:shd w:val="clear" w:color="auto" w:fill="auto"/>
            <w:vAlign w:val="center"/>
          </w:tcPr>
          <w:p w14:paraId="126226C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(0.0205)</w:t>
            </w:r>
          </w:p>
        </w:tc>
        <w:tc>
          <w:tcPr>
            <w:tcW w:w="735" w:type="dxa"/>
            <w:tcBorders>
              <w:top w:val="nil"/>
              <w:left w:val="nil"/>
              <w:bottom w:val="single" w:color="auto" w:sz="4" w:space="0"/>
              <w:right w:val="nil"/>
            </w:tcBorders>
            <w:shd w:val="clear" w:color="auto" w:fill="auto"/>
            <w:vAlign w:val="center"/>
          </w:tcPr>
          <w:p w14:paraId="45066071">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(0.0239)</w:t>
            </w:r>
          </w:p>
        </w:tc>
        <w:tc>
          <w:tcPr>
            <w:tcW w:w="735" w:type="dxa"/>
            <w:tcBorders>
              <w:top w:val="nil"/>
              <w:left w:val="nil"/>
              <w:bottom w:val="single" w:color="auto" w:sz="4" w:space="0"/>
              <w:right w:val="nil"/>
            </w:tcBorders>
            <w:shd w:val="clear" w:color="auto" w:fill="auto"/>
            <w:vAlign w:val="center"/>
          </w:tcPr>
          <w:p w14:paraId="782EA840">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(0.0236)</w:t>
            </w:r>
          </w:p>
        </w:tc>
      </w:tr>
      <w:tr w14:paraId="01A54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7" w:type="dxa"/>
            <w:tcBorders>
              <w:top w:val="single" w:color="auto" w:sz="4" w:space="0"/>
              <w:left w:val="nil"/>
              <w:bottom w:val="nil"/>
              <w:right w:val="nil"/>
            </w:tcBorders>
            <w:shd w:val="clear" w:color="auto" w:fill="auto"/>
            <w:vAlign w:val="center"/>
          </w:tcPr>
          <w:p w14:paraId="3D22DEF8">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Controls</w:t>
            </w:r>
          </w:p>
        </w:tc>
        <w:tc>
          <w:tcPr>
            <w:tcW w:w="735" w:type="dxa"/>
            <w:tcBorders>
              <w:top w:val="single" w:color="auto" w:sz="4" w:space="0"/>
              <w:left w:val="nil"/>
              <w:bottom w:val="nil"/>
              <w:right w:val="nil"/>
            </w:tcBorders>
            <w:shd w:val="clear" w:color="auto" w:fill="auto"/>
            <w:vAlign w:val="center"/>
          </w:tcPr>
          <w:p w14:paraId="18574D20">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Yes</w:t>
            </w:r>
          </w:p>
        </w:tc>
        <w:tc>
          <w:tcPr>
            <w:tcW w:w="735" w:type="dxa"/>
            <w:tcBorders>
              <w:top w:val="single" w:color="auto" w:sz="4" w:space="0"/>
              <w:left w:val="nil"/>
              <w:bottom w:val="nil"/>
              <w:right w:val="nil"/>
            </w:tcBorders>
            <w:shd w:val="clear" w:color="auto" w:fill="auto"/>
            <w:vAlign w:val="center"/>
          </w:tcPr>
          <w:p w14:paraId="0B86E500">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Yes</w:t>
            </w:r>
          </w:p>
        </w:tc>
        <w:tc>
          <w:tcPr>
            <w:tcW w:w="796" w:type="dxa"/>
            <w:tcBorders>
              <w:top w:val="single" w:color="auto" w:sz="4" w:space="0"/>
              <w:left w:val="nil"/>
              <w:bottom w:val="nil"/>
              <w:right w:val="nil"/>
            </w:tcBorders>
            <w:shd w:val="clear" w:color="auto" w:fill="auto"/>
            <w:vAlign w:val="center"/>
          </w:tcPr>
          <w:p w14:paraId="522C1815">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rPr>
            </w:pPr>
            <w:r>
              <w:rPr>
                <w:rFonts w:hint="default" w:ascii="Times New Roman" w:hAnsi="Times New Roman" w:eastAsia="Times New Roman" w:cs="Times New Roman"/>
                <w:color w:val="auto"/>
                <w:sz w:val="24"/>
                <w:szCs w:val="24"/>
                <w:highlight w:val="none"/>
              </w:rPr>
              <w:t>Yes</w:t>
            </w:r>
          </w:p>
        </w:tc>
        <w:tc>
          <w:tcPr>
            <w:tcW w:w="735" w:type="dxa"/>
            <w:tcBorders>
              <w:top w:val="single" w:color="auto" w:sz="4" w:space="0"/>
              <w:left w:val="nil"/>
              <w:bottom w:val="nil"/>
              <w:right w:val="nil"/>
            </w:tcBorders>
            <w:shd w:val="clear" w:color="auto" w:fill="auto"/>
            <w:vAlign w:val="center"/>
          </w:tcPr>
          <w:p w14:paraId="63FF6F06">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Yes</w:t>
            </w:r>
          </w:p>
        </w:tc>
        <w:tc>
          <w:tcPr>
            <w:tcW w:w="796" w:type="dxa"/>
            <w:tcBorders>
              <w:top w:val="single" w:color="auto" w:sz="4" w:space="0"/>
              <w:left w:val="nil"/>
              <w:bottom w:val="nil"/>
              <w:right w:val="nil"/>
            </w:tcBorders>
            <w:shd w:val="clear" w:color="auto" w:fill="auto"/>
            <w:vAlign w:val="center"/>
          </w:tcPr>
          <w:p w14:paraId="2A340F7D">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Yes</w:t>
            </w:r>
          </w:p>
        </w:tc>
        <w:tc>
          <w:tcPr>
            <w:tcW w:w="796" w:type="dxa"/>
            <w:tcBorders>
              <w:top w:val="single" w:color="auto" w:sz="4" w:space="0"/>
              <w:left w:val="nil"/>
              <w:bottom w:val="nil"/>
              <w:right w:val="nil"/>
            </w:tcBorders>
            <w:shd w:val="clear" w:color="auto" w:fill="auto"/>
            <w:vAlign w:val="center"/>
          </w:tcPr>
          <w:p w14:paraId="554F46F6">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Yes</w:t>
            </w:r>
          </w:p>
        </w:tc>
        <w:tc>
          <w:tcPr>
            <w:tcW w:w="791" w:type="dxa"/>
            <w:tcBorders>
              <w:top w:val="single" w:color="auto" w:sz="4" w:space="0"/>
              <w:left w:val="nil"/>
              <w:bottom w:val="nil"/>
              <w:right w:val="nil"/>
            </w:tcBorders>
            <w:shd w:val="clear" w:color="auto" w:fill="auto"/>
            <w:vAlign w:val="center"/>
          </w:tcPr>
          <w:p w14:paraId="265A24BD">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Yes</w:t>
            </w:r>
          </w:p>
        </w:tc>
        <w:tc>
          <w:tcPr>
            <w:tcW w:w="735" w:type="dxa"/>
            <w:tcBorders>
              <w:top w:val="single" w:color="auto" w:sz="4" w:space="0"/>
              <w:left w:val="nil"/>
              <w:bottom w:val="nil"/>
              <w:right w:val="nil"/>
            </w:tcBorders>
            <w:shd w:val="clear" w:color="auto" w:fill="auto"/>
            <w:vAlign w:val="center"/>
          </w:tcPr>
          <w:p w14:paraId="33BFB419">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Yes</w:t>
            </w:r>
          </w:p>
        </w:tc>
        <w:tc>
          <w:tcPr>
            <w:tcW w:w="735" w:type="dxa"/>
            <w:tcBorders>
              <w:top w:val="single" w:color="auto" w:sz="4" w:space="0"/>
              <w:left w:val="nil"/>
              <w:bottom w:val="nil"/>
              <w:right w:val="nil"/>
            </w:tcBorders>
            <w:shd w:val="clear" w:color="auto" w:fill="auto"/>
            <w:vAlign w:val="center"/>
          </w:tcPr>
          <w:p w14:paraId="18027467">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Yes</w:t>
            </w:r>
          </w:p>
        </w:tc>
        <w:tc>
          <w:tcPr>
            <w:tcW w:w="735" w:type="dxa"/>
            <w:tcBorders>
              <w:top w:val="single" w:color="auto" w:sz="4" w:space="0"/>
              <w:left w:val="nil"/>
              <w:bottom w:val="nil"/>
              <w:right w:val="nil"/>
            </w:tcBorders>
            <w:shd w:val="clear" w:color="auto" w:fill="auto"/>
            <w:vAlign w:val="center"/>
          </w:tcPr>
          <w:p w14:paraId="0FA17EF4">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Yes</w:t>
            </w:r>
          </w:p>
        </w:tc>
      </w:tr>
      <w:tr w14:paraId="4D806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7" w:type="dxa"/>
            <w:tcBorders>
              <w:top w:val="nil"/>
              <w:left w:val="nil"/>
              <w:bottom w:val="nil"/>
              <w:right w:val="nil"/>
            </w:tcBorders>
            <w:shd w:val="clear" w:color="auto" w:fill="auto"/>
            <w:vAlign w:val="center"/>
          </w:tcPr>
          <w:p w14:paraId="686069F4">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Company</w:t>
            </w:r>
          </w:p>
        </w:tc>
        <w:tc>
          <w:tcPr>
            <w:tcW w:w="735" w:type="dxa"/>
            <w:tcBorders>
              <w:top w:val="nil"/>
              <w:left w:val="nil"/>
              <w:bottom w:val="nil"/>
              <w:right w:val="nil"/>
            </w:tcBorders>
            <w:shd w:val="clear" w:color="auto" w:fill="auto"/>
            <w:vAlign w:val="center"/>
          </w:tcPr>
          <w:p w14:paraId="354FCF09">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Yes</w:t>
            </w:r>
          </w:p>
        </w:tc>
        <w:tc>
          <w:tcPr>
            <w:tcW w:w="735" w:type="dxa"/>
            <w:tcBorders>
              <w:top w:val="nil"/>
              <w:left w:val="nil"/>
              <w:bottom w:val="nil"/>
              <w:right w:val="nil"/>
            </w:tcBorders>
            <w:shd w:val="clear" w:color="auto" w:fill="auto"/>
            <w:vAlign w:val="center"/>
          </w:tcPr>
          <w:p w14:paraId="19885B60">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Yes</w:t>
            </w:r>
          </w:p>
        </w:tc>
        <w:tc>
          <w:tcPr>
            <w:tcW w:w="796" w:type="dxa"/>
            <w:tcBorders>
              <w:top w:val="nil"/>
              <w:left w:val="nil"/>
              <w:bottom w:val="nil"/>
              <w:right w:val="nil"/>
            </w:tcBorders>
            <w:shd w:val="clear" w:color="auto" w:fill="auto"/>
            <w:vAlign w:val="center"/>
          </w:tcPr>
          <w:p w14:paraId="1B93F3D8">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rPr>
            </w:pPr>
            <w:r>
              <w:rPr>
                <w:rFonts w:hint="default" w:ascii="Times New Roman" w:hAnsi="Times New Roman" w:eastAsia="Times New Roman" w:cs="Times New Roman"/>
                <w:color w:val="auto"/>
                <w:sz w:val="24"/>
                <w:szCs w:val="24"/>
                <w:highlight w:val="none"/>
              </w:rPr>
              <w:t>Yes</w:t>
            </w:r>
          </w:p>
        </w:tc>
        <w:tc>
          <w:tcPr>
            <w:tcW w:w="735" w:type="dxa"/>
            <w:tcBorders>
              <w:top w:val="nil"/>
              <w:left w:val="nil"/>
              <w:bottom w:val="nil"/>
              <w:right w:val="nil"/>
            </w:tcBorders>
            <w:shd w:val="clear" w:color="auto" w:fill="auto"/>
            <w:vAlign w:val="center"/>
          </w:tcPr>
          <w:p w14:paraId="6C3B7655">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Yes</w:t>
            </w:r>
          </w:p>
        </w:tc>
        <w:tc>
          <w:tcPr>
            <w:tcW w:w="796" w:type="dxa"/>
            <w:tcBorders>
              <w:top w:val="nil"/>
              <w:left w:val="nil"/>
              <w:bottom w:val="nil"/>
              <w:right w:val="nil"/>
            </w:tcBorders>
            <w:shd w:val="clear" w:color="auto" w:fill="auto"/>
            <w:vAlign w:val="center"/>
          </w:tcPr>
          <w:p w14:paraId="7C2A6135">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Yes</w:t>
            </w:r>
          </w:p>
        </w:tc>
        <w:tc>
          <w:tcPr>
            <w:tcW w:w="796" w:type="dxa"/>
            <w:tcBorders>
              <w:top w:val="nil"/>
              <w:left w:val="nil"/>
              <w:bottom w:val="nil"/>
              <w:right w:val="nil"/>
            </w:tcBorders>
            <w:shd w:val="clear" w:color="auto" w:fill="auto"/>
            <w:vAlign w:val="center"/>
          </w:tcPr>
          <w:p w14:paraId="1D0E950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Yes</w:t>
            </w:r>
          </w:p>
        </w:tc>
        <w:tc>
          <w:tcPr>
            <w:tcW w:w="791" w:type="dxa"/>
            <w:tcBorders>
              <w:top w:val="nil"/>
              <w:left w:val="nil"/>
              <w:bottom w:val="nil"/>
              <w:right w:val="nil"/>
            </w:tcBorders>
            <w:shd w:val="clear" w:color="auto" w:fill="auto"/>
            <w:vAlign w:val="center"/>
          </w:tcPr>
          <w:p w14:paraId="23B6E99A">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Yes</w:t>
            </w:r>
          </w:p>
        </w:tc>
        <w:tc>
          <w:tcPr>
            <w:tcW w:w="735" w:type="dxa"/>
            <w:tcBorders>
              <w:top w:val="nil"/>
              <w:left w:val="nil"/>
              <w:bottom w:val="nil"/>
              <w:right w:val="nil"/>
            </w:tcBorders>
            <w:shd w:val="clear" w:color="auto" w:fill="auto"/>
            <w:vAlign w:val="center"/>
          </w:tcPr>
          <w:p w14:paraId="4D9F7F96">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Yes</w:t>
            </w:r>
          </w:p>
        </w:tc>
        <w:tc>
          <w:tcPr>
            <w:tcW w:w="735" w:type="dxa"/>
            <w:tcBorders>
              <w:top w:val="nil"/>
              <w:left w:val="nil"/>
              <w:bottom w:val="nil"/>
              <w:right w:val="nil"/>
            </w:tcBorders>
            <w:shd w:val="clear" w:color="auto" w:fill="auto"/>
            <w:vAlign w:val="center"/>
          </w:tcPr>
          <w:p w14:paraId="78F236D1">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Yes</w:t>
            </w:r>
          </w:p>
        </w:tc>
        <w:tc>
          <w:tcPr>
            <w:tcW w:w="735" w:type="dxa"/>
            <w:tcBorders>
              <w:top w:val="nil"/>
              <w:left w:val="nil"/>
              <w:bottom w:val="nil"/>
              <w:right w:val="nil"/>
            </w:tcBorders>
            <w:shd w:val="clear" w:color="auto" w:fill="auto"/>
            <w:vAlign w:val="center"/>
          </w:tcPr>
          <w:p w14:paraId="2CABC56F">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Yes</w:t>
            </w:r>
          </w:p>
        </w:tc>
      </w:tr>
      <w:tr w14:paraId="559AB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7" w:type="dxa"/>
            <w:tcBorders>
              <w:top w:val="nil"/>
              <w:left w:val="nil"/>
              <w:bottom w:val="nil"/>
              <w:right w:val="nil"/>
            </w:tcBorders>
            <w:shd w:val="clear" w:color="auto" w:fill="auto"/>
            <w:vAlign w:val="center"/>
          </w:tcPr>
          <w:p w14:paraId="53FE986C">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Year</w:t>
            </w:r>
          </w:p>
        </w:tc>
        <w:tc>
          <w:tcPr>
            <w:tcW w:w="735" w:type="dxa"/>
            <w:tcBorders>
              <w:top w:val="nil"/>
              <w:left w:val="nil"/>
              <w:bottom w:val="nil"/>
              <w:right w:val="nil"/>
            </w:tcBorders>
            <w:shd w:val="clear" w:color="auto" w:fill="auto"/>
            <w:vAlign w:val="center"/>
          </w:tcPr>
          <w:p w14:paraId="6924D630">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Yes</w:t>
            </w:r>
          </w:p>
        </w:tc>
        <w:tc>
          <w:tcPr>
            <w:tcW w:w="735" w:type="dxa"/>
            <w:tcBorders>
              <w:top w:val="nil"/>
              <w:left w:val="nil"/>
              <w:bottom w:val="nil"/>
              <w:right w:val="nil"/>
            </w:tcBorders>
            <w:shd w:val="clear" w:color="auto" w:fill="auto"/>
            <w:vAlign w:val="center"/>
          </w:tcPr>
          <w:p w14:paraId="167734BC">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Yes</w:t>
            </w:r>
          </w:p>
        </w:tc>
        <w:tc>
          <w:tcPr>
            <w:tcW w:w="796" w:type="dxa"/>
            <w:tcBorders>
              <w:top w:val="nil"/>
              <w:left w:val="nil"/>
              <w:bottom w:val="nil"/>
              <w:right w:val="nil"/>
            </w:tcBorders>
            <w:shd w:val="clear" w:color="auto" w:fill="auto"/>
            <w:vAlign w:val="center"/>
          </w:tcPr>
          <w:p w14:paraId="7C59B01A">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rPr>
            </w:pPr>
            <w:r>
              <w:rPr>
                <w:rFonts w:hint="default" w:ascii="Times New Roman" w:hAnsi="Times New Roman" w:eastAsia="Times New Roman" w:cs="Times New Roman"/>
                <w:color w:val="auto"/>
                <w:sz w:val="24"/>
                <w:szCs w:val="24"/>
                <w:highlight w:val="none"/>
              </w:rPr>
              <w:t>Yes</w:t>
            </w:r>
          </w:p>
        </w:tc>
        <w:tc>
          <w:tcPr>
            <w:tcW w:w="735" w:type="dxa"/>
            <w:tcBorders>
              <w:top w:val="nil"/>
              <w:left w:val="nil"/>
              <w:bottom w:val="nil"/>
              <w:right w:val="nil"/>
            </w:tcBorders>
            <w:shd w:val="clear" w:color="auto" w:fill="auto"/>
            <w:vAlign w:val="center"/>
          </w:tcPr>
          <w:p w14:paraId="1A765A24">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Yes</w:t>
            </w:r>
          </w:p>
        </w:tc>
        <w:tc>
          <w:tcPr>
            <w:tcW w:w="796" w:type="dxa"/>
            <w:tcBorders>
              <w:top w:val="nil"/>
              <w:left w:val="nil"/>
              <w:bottom w:val="nil"/>
              <w:right w:val="nil"/>
            </w:tcBorders>
            <w:shd w:val="clear" w:color="auto" w:fill="auto"/>
            <w:vAlign w:val="center"/>
          </w:tcPr>
          <w:p w14:paraId="6630EBC3">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p>
        </w:tc>
        <w:tc>
          <w:tcPr>
            <w:tcW w:w="796" w:type="dxa"/>
            <w:tcBorders>
              <w:top w:val="nil"/>
              <w:left w:val="nil"/>
              <w:bottom w:val="nil"/>
              <w:right w:val="nil"/>
            </w:tcBorders>
            <w:shd w:val="clear" w:color="auto" w:fill="auto"/>
            <w:vAlign w:val="center"/>
          </w:tcPr>
          <w:p w14:paraId="0B7B33A8">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p>
        </w:tc>
        <w:tc>
          <w:tcPr>
            <w:tcW w:w="791" w:type="dxa"/>
            <w:tcBorders>
              <w:top w:val="nil"/>
              <w:left w:val="nil"/>
              <w:bottom w:val="nil"/>
              <w:right w:val="nil"/>
            </w:tcBorders>
            <w:shd w:val="clear" w:color="auto" w:fill="auto"/>
            <w:vAlign w:val="center"/>
          </w:tcPr>
          <w:p w14:paraId="73A051E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p>
        </w:tc>
        <w:tc>
          <w:tcPr>
            <w:tcW w:w="735" w:type="dxa"/>
            <w:tcBorders>
              <w:top w:val="nil"/>
              <w:left w:val="nil"/>
              <w:bottom w:val="nil"/>
              <w:right w:val="nil"/>
            </w:tcBorders>
            <w:shd w:val="clear" w:color="auto" w:fill="auto"/>
            <w:vAlign w:val="center"/>
          </w:tcPr>
          <w:p w14:paraId="171E2AAA">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Yes</w:t>
            </w:r>
          </w:p>
        </w:tc>
        <w:tc>
          <w:tcPr>
            <w:tcW w:w="735" w:type="dxa"/>
            <w:tcBorders>
              <w:top w:val="nil"/>
              <w:left w:val="nil"/>
              <w:bottom w:val="nil"/>
              <w:right w:val="nil"/>
            </w:tcBorders>
            <w:shd w:val="clear" w:color="auto" w:fill="auto"/>
            <w:vAlign w:val="center"/>
          </w:tcPr>
          <w:p w14:paraId="7B356621">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Yes</w:t>
            </w:r>
          </w:p>
        </w:tc>
        <w:tc>
          <w:tcPr>
            <w:tcW w:w="735" w:type="dxa"/>
            <w:tcBorders>
              <w:top w:val="nil"/>
              <w:left w:val="nil"/>
              <w:bottom w:val="nil"/>
              <w:right w:val="nil"/>
            </w:tcBorders>
            <w:shd w:val="clear" w:color="auto" w:fill="auto"/>
            <w:vAlign w:val="center"/>
          </w:tcPr>
          <w:p w14:paraId="04922047">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Yes</w:t>
            </w:r>
          </w:p>
        </w:tc>
      </w:tr>
      <w:tr w14:paraId="66779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7" w:type="dxa"/>
            <w:tcBorders>
              <w:top w:val="nil"/>
              <w:left w:val="nil"/>
              <w:bottom w:val="nil"/>
              <w:right w:val="nil"/>
            </w:tcBorders>
            <w:shd w:val="clear" w:color="auto" w:fill="auto"/>
            <w:vAlign w:val="center"/>
          </w:tcPr>
          <w:p w14:paraId="46DFAA3D">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rPr>
            </w:pPr>
            <w:r>
              <w:rPr>
                <w:rFonts w:hint="default" w:ascii="Times New Roman" w:hAnsi="Times New Roman" w:eastAsia="Times New Roman" w:cs="Times New Roman"/>
                <w:color w:val="auto"/>
                <w:sz w:val="24"/>
                <w:szCs w:val="24"/>
                <w:highlight w:val="none"/>
              </w:rPr>
              <w:t>Province</w:t>
            </w:r>
          </w:p>
        </w:tc>
        <w:tc>
          <w:tcPr>
            <w:tcW w:w="735" w:type="dxa"/>
            <w:tcBorders>
              <w:top w:val="nil"/>
              <w:left w:val="nil"/>
              <w:bottom w:val="nil"/>
              <w:right w:val="nil"/>
            </w:tcBorders>
            <w:shd w:val="clear" w:color="auto" w:fill="auto"/>
            <w:vAlign w:val="center"/>
          </w:tcPr>
          <w:p w14:paraId="75DC4DE6">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35" w:type="dxa"/>
            <w:tcBorders>
              <w:top w:val="nil"/>
              <w:left w:val="nil"/>
              <w:bottom w:val="nil"/>
              <w:right w:val="nil"/>
            </w:tcBorders>
            <w:shd w:val="clear" w:color="auto" w:fill="auto"/>
            <w:vAlign w:val="center"/>
          </w:tcPr>
          <w:p w14:paraId="48D6A454">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96" w:type="dxa"/>
            <w:tcBorders>
              <w:top w:val="nil"/>
              <w:left w:val="nil"/>
              <w:bottom w:val="nil"/>
              <w:right w:val="nil"/>
            </w:tcBorders>
            <w:shd w:val="clear" w:color="auto" w:fill="auto"/>
            <w:vAlign w:val="center"/>
          </w:tcPr>
          <w:p w14:paraId="4F5BAC28">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35" w:type="dxa"/>
            <w:tcBorders>
              <w:top w:val="nil"/>
              <w:left w:val="nil"/>
              <w:bottom w:val="nil"/>
              <w:right w:val="nil"/>
            </w:tcBorders>
            <w:shd w:val="clear" w:color="auto" w:fill="auto"/>
            <w:vAlign w:val="center"/>
          </w:tcPr>
          <w:p w14:paraId="0AB980F7">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Yes</w:t>
            </w:r>
          </w:p>
        </w:tc>
        <w:tc>
          <w:tcPr>
            <w:tcW w:w="796" w:type="dxa"/>
            <w:tcBorders>
              <w:top w:val="nil"/>
              <w:left w:val="nil"/>
              <w:bottom w:val="nil"/>
              <w:right w:val="nil"/>
            </w:tcBorders>
            <w:shd w:val="clear" w:color="auto" w:fill="auto"/>
            <w:vAlign w:val="center"/>
          </w:tcPr>
          <w:p w14:paraId="038F4006">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p>
        </w:tc>
        <w:tc>
          <w:tcPr>
            <w:tcW w:w="796" w:type="dxa"/>
            <w:tcBorders>
              <w:top w:val="nil"/>
              <w:left w:val="nil"/>
              <w:bottom w:val="nil"/>
              <w:right w:val="nil"/>
            </w:tcBorders>
            <w:shd w:val="clear" w:color="auto" w:fill="auto"/>
            <w:vAlign w:val="center"/>
          </w:tcPr>
          <w:p w14:paraId="54D20BAC">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Yes</w:t>
            </w:r>
          </w:p>
        </w:tc>
        <w:tc>
          <w:tcPr>
            <w:tcW w:w="791" w:type="dxa"/>
            <w:tcBorders>
              <w:top w:val="nil"/>
              <w:left w:val="nil"/>
              <w:bottom w:val="nil"/>
              <w:right w:val="nil"/>
            </w:tcBorders>
            <w:shd w:val="clear" w:color="auto" w:fill="auto"/>
            <w:vAlign w:val="center"/>
          </w:tcPr>
          <w:p w14:paraId="69F73F89">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p>
        </w:tc>
        <w:tc>
          <w:tcPr>
            <w:tcW w:w="735" w:type="dxa"/>
            <w:tcBorders>
              <w:top w:val="nil"/>
              <w:left w:val="nil"/>
              <w:bottom w:val="nil"/>
              <w:right w:val="nil"/>
            </w:tcBorders>
            <w:shd w:val="clear" w:color="auto" w:fill="auto"/>
            <w:vAlign w:val="center"/>
          </w:tcPr>
          <w:p w14:paraId="6ED15223">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c>
          <w:tcPr>
            <w:tcW w:w="735" w:type="dxa"/>
            <w:tcBorders>
              <w:top w:val="nil"/>
              <w:left w:val="nil"/>
              <w:bottom w:val="nil"/>
              <w:right w:val="nil"/>
            </w:tcBorders>
            <w:shd w:val="clear" w:color="auto" w:fill="auto"/>
            <w:vAlign w:val="center"/>
          </w:tcPr>
          <w:p w14:paraId="1B506D61">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c>
          <w:tcPr>
            <w:tcW w:w="735" w:type="dxa"/>
            <w:tcBorders>
              <w:top w:val="nil"/>
              <w:left w:val="nil"/>
              <w:bottom w:val="nil"/>
              <w:right w:val="nil"/>
            </w:tcBorders>
            <w:shd w:val="clear" w:color="auto" w:fill="auto"/>
            <w:vAlign w:val="center"/>
          </w:tcPr>
          <w:p w14:paraId="6DE24C6F">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r>
      <w:tr w14:paraId="4E3FF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7" w:type="dxa"/>
            <w:tcBorders>
              <w:top w:val="nil"/>
              <w:left w:val="nil"/>
              <w:bottom w:val="nil"/>
              <w:right w:val="nil"/>
            </w:tcBorders>
            <w:shd w:val="clear" w:color="auto" w:fill="auto"/>
            <w:vAlign w:val="center"/>
          </w:tcPr>
          <w:p w14:paraId="5439E46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rPr>
            </w:pPr>
            <w:r>
              <w:rPr>
                <w:rFonts w:hint="default" w:ascii="Times New Roman" w:hAnsi="Times New Roman" w:eastAsia="Times New Roman" w:cs="Times New Roman"/>
                <w:color w:val="auto"/>
                <w:sz w:val="24"/>
                <w:szCs w:val="24"/>
                <w:highlight w:val="none"/>
              </w:rPr>
              <w:t>pro</w:t>
            </w:r>
            <w:r>
              <w:rPr>
                <w:rFonts w:hint="default" w:ascii="Times New Roman" w:hAnsi="Times New Roman" w:eastAsia="Times New Roman" w:cs="Times New Roman"/>
                <w:color w:val="auto"/>
                <w:sz w:val="24"/>
                <w:szCs w:val="24"/>
                <w:highlight w:val="none"/>
                <w:lang w:val="en-US" w:eastAsia="zh-CN"/>
              </w:rPr>
              <w:t>×</w:t>
            </w:r>
            <w:r>
              <w:rPr>
                <w:rFonts w:hint="default" w:ascii="Times New Roman" w:hAnsi="Times New Roman" w:eastAsia="Times New Roman" w:cs="Times New Roman"/>
                <w:color w:val="auto"/>
                <w:sz w:val="24"/>
                <w:szCs w:val="24"/>
                <w:highlight w:val="none"/>
              </w:rPr>
              <w:t>Year</w:t>
            </w:r>
          </w:p>
        </w:tc>
        <w:tc>
          <w:tcPr>
            <w:tcW w:w="735" w:type="dxa"/>
            <w:tcBorders>
              <w:top w:val="nil"/>
              <w:left w:val="nil"/>
              <w:bottom w:val="nil"/>
              <w:right w:val="nil"/>
            </w:tcBorders>
            <w:shd w:val="clear" w:color="auto" w:fill="auto"/>
            <w:vAlign w:val="center"/>
          </w:tcPr>
          <w:p w14:paraId="6AF0721A">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35" w:type="dxa"/>
            <w:tcBorders>
              <w:top w:val="nil"/>
              <w:left w:val="nil"/>
              <w:bottom w:val="nil"/>
              <w:right w:val="nil"/>
            </w:tcBorders>
            <w:shd w:val="clear" w:color="auto" w:fill="auto"/>
            <w:vAlign w:val="center"/>
          </w:tcPr>
          <w:p w14:paraId="28ACAF18">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96" w:type="dxa"/>
            <w:tcBorders>
              <w:top w:val="nil"/>
              <w:left w:val="nil"/>
              <w:bottom w:val="nil"/>
              <w:right w:val="nil"/>
            </w:tcBorders>
            <w:shd w:val="clear" w:color="auto" w:fill="auto"/>
            <w:vAlign w:val="center"/>
          </w:tcPr>
          <w:p w14:paraId="53B6CDCF">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35" w:type="dxa"/>
            <w:tcBorders>
              <w:top w:val="nil"/>
              <w:left w:val="nil"/>
              <w:bottom w:val="nil"/>
              <w:right w:val="nil"/>
            </w:tcBorders>
            <w:shd w:val="clear" w:color="auto" w:fill="auto"/>
            <w:vAlign w:val="center"/>
          </w:tcPr>
          <w:p w14:paraId="3E455837">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p>
        </w:tc>
        <w:tc>
          <w:tcPr>
            <w:tcW w:w="796" w:type="dxa"/>
            <w:tcBorders>
              <w:top w:val="nil"/>
              <w:left w:val="nil"/>
              <w:bottom w:val="nil"/>
              <w:right w:val="nil"/>
            </w:tcBorders>
            <w:shd w:val="clear" w:color="auto" w:fill="auto"/>
            <w:vAlign w:val="center"/>
          </w:tcPr>
          <w:p w14:paraId="0B29C1C1">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Yes</w:t>
            </w:r>
          </w:p>
        </w:tc>
        <w:tc>
          <w:tcPr>
            <w:tcW w:w="796" w:type="dxa"/>
            <w:tcBorders>
              <w:top w:val="nil"/>
              <w:left w:val="nil"/>
              <w:bottom w:val="nil"/>
              <w:right w:val="nil"/>
            </w:tcBorders>
            <w:shd w:val="clear" w:color="auto" w:fill="auto"/>
            <w:vAlign w:val="center"/>
          </w:tcPr>
          <w:p w14:paraId="0D758D4B">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p>
        </w:tc>
        <w:tc>
          <w:tcPr>
            <w:tcW w:w="791" w:type="dxa"/>
            <w:tcBorders>
              <w:top w:val="nil"/>
              <w:left w:val="nil"/>
              <w:bottom w:val="nil"/>
              <w:right w:val="nil"/>
            </w:tcBorders>
            <w:shd w:val="clear" w:color="auto" w:fill="auto"/>
            <w:vAlign w:val="center"/>
          </w:tcPr>
          <w:p w14:paraId="244BB55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p>
        </w:tc>
        <w:tc>
          <w:tcPr>
            <w:tcW w:w="735" w:type="dxa"/>
            <w:tcBorders>
              <w:top w:val="nil"/>
              <w:left w:val="nil"/>
              <w:bottom w:val="nil"/>
              <w:right w:val="nil"/>
            </w:tcBorders>
            <w:shd w:val="clear" w:color="auto" w:fill="auto"/>
            <w:vAlign w:val="center"/>
          </w:tcPr>
          <w:p w14:paraId="30F27242">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c>
          <w:tcPr>
            <w:tcW w:w="735" w:type="dxa"/>
            <w:tcBorders>
              <w:top w:val="nil"/>
              <w:left w:val="nil"/>
              <w:bottom w:val="nil"/>
              <w:right w:val="nil"/>
            </w:tcBorders>
            <w:shd w:val="clear" w:color="auto" w:fill="auto"/>
            <w:vAlign w:val="center"/>
          </w:tcPr>
          <w:p w14:paraId="55C2737B">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c>
          <w:tcPr>
            <w:tcW w:w="735" w:type="dxa"/>
            <w:tcBorders>
              <w:top w:val="nil"/>
              <w:left w:val="nil"/>
              <w:bottom w:val="nil"/>
              <w:right w:val="nil"/>
            </w:tcBorders>
            <w:shd w:val="clear" w:color="auto" w:fill="auto"/>
            <w:vAlign w:val="center"/>
          </w:tcPr>
          <w:p w14:paraId="65E32D2A">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r>
      <w:tr w14:paraId="1C6A4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7" w:type="dxa"/>
            <w:tcBorders>
              <w:top w:val="nil"/>
              <w:left w:val="nil"/>
              <w:bottom w:val="nil"/>
              <w:right w:val="nil"/>
            </w:tcBorders>
            <w:shd w:val="clear" w:color="auto" w:fill="auto"/>
            <w:vAlign w:val="center"/>
          </w:tcPr>
          <w:p w14:paraId="59EF0BC0">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rPr>
            </w:pPr>
            <w:r>
              <w:rPr>
                <w:rFonts w:hint="default" w:ascii="Times New Roman" w:hAnsi="Times New Roman" w:eastAsia="Times New Roman" w:cs="Times New Roman"/>
                <w:color w:val="auto"/>
                <w:sz w:val="24"/>
                <w:szCs w:val="24"/>
                <w:highlight w:val="none"/>
              </w:rPr>
              <w:t>Ind</w:t>
            </w:r>
            <w:r>
              <w:rPr>
                <w:rFonts w:hint="default" w:ascii="Times New Roman" w:hAnsi="Times New Roman" w:eastAsia="Times New Roman" w:cs="Times New Roman"/>
                <w:color w:val="auto"/>
                <w:sz w:val="24"/>
                <w:szCs w:val="24"/>
                <w:highlight w:val="none"/>
                <w:lang w:val="en-US" w:eastAsia="zh-CN"/>
              </w:rPr>
              <w:t>×</w:t>
            </w:r>
            <w:r>
              <w:rPr>
                <w:rFonts w:hint="default" w:ascii="Times New Roman" w:hAnsi="Times New Roman" w:eastAsia="Times New Roman" w:cs="Times New Roman"/>
                <w:color w:val="auto"/>
                <w:sz w:val="24"/>
                <w:szCs w:val="24"/>
                <w:highlight w:val="none"/>
              </w:rPr>
              <w:t>Year</w:t>
            </w:r>
          </w:p>
        </w:tc>
        <w:tc>
          <w:tcPr>
            <w:tcW w:w="735" w:type="dxa"/>
            <w:tcBorders>
              <w:top w:val="nil"/>
              <w:left w:val="nil"/>
              <w:bottom w:val="nil"/>
              <w:right w:val="nil"/>
            </w:tcBorders>
            <w:shd w:val="clear" w:color="auto" w:fill="auto"/>
            <w:vAlign w:val="center"/>
          </w:tcPr>
          <w:p w14:paraId="3A28BF8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35" w:type="dxa"/>
            <w:tcBorders>
              <w:top w:val="nil"/>
              <w:left w:val="nil"/>
              <w:bottom w:val="nil"/>
              <w:right w:val="nil"/>
            </w:tcBorders>
            <w:shd w:val="clear" w:color="auto" w:fill="auto"/>
            <w:vAlign w:val="center"/>
          </w:tcPr>
          <w:p w14:paraId="063F8AC5">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96" w:type="dxa"/>
            <w:tcBorders>
              <w:top w:val="nil"/>
              <w:left w:val="nil"/>
              <w:bottom w:val="nil"/>
              <w:right w:val="nil"/>
            </w:tcBorders>
            <w:shd w:val="clear" w:color="auto" w:fill="auto"/>
            <w:vAlign w:val="center"/>
          </w:tcPr>
          <w:p w14:paraId="53939120">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35" w:type="dxa"/>
            <w:tcBorders>
              <w:top w:val="nil"/>
              <w:left w:val="nil"/>
              <w:bottom w:val="nil"/>
              <w:right w:val="nil"/>
            </w:tcBorders>
            <w:shd w:val="clear" w:color="auto" w:fill="auto"/>
            <w:vAlign w:val="center"/>
          </w:tcPr>
          <w:p w14:paraId="2B2F9FB7">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p>
        </w:tc>
        <w:tc>
          <w:tcPr>
            <w:tcW w:w="796" w:type="dxa"/>
            <w:tcBorders>
              <w:top w:val="nil"/>
              <w:left w:val="nil"/>
              <w:bottom w:val="nil"/>
              <w:right w:val="nil"/>
            </w:tcBorders>
            <w:shd w:val="clear" w:color="auto" w:fill="auto"/>
            <w:vAlign w:val="center"/>
          </w:tcPr>
          <w:p w14:paraId="019B0042">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p>
        </w:tc>
        <w:tc>
          <w:tcPr>
            <w:tcW w:w="796" w:type="dxa"/>
            <w:tcBorders>
              <w:top w:val="nil"/>
              <w:left w:val="nil"/>
              <w:bottom w:val="nil"/>
              <w:right w:val="nil"/>
            </w:tcBorders>
            <w:shd w:val="clear" w:color="auto" w:fill="auto"/>
            <w:vAlign w:val="center"/>
          </w:tcPr>
          <w:p w14:paraId="61DD09D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Yes</w:t>
            </w:r>
          </w:p>
        </w:tc>
        <w:tc>
          <w:tcPr>
            <w:tcW w:w="791" w:type="dxa"/>
            <w:tcBorders>
              <w:top w:val="nil"/>
              <w:left w:val="nil"/>
              <w:bottom w:val="nil"/>
              <w:right w:val="nil"/>
            </w:tcBorders>
            <w:shd w:val="clear" w:color="auto" w:fill="auto"/>
            <w:vAlign w:val="center"/>
          </w:tcPr>
          <w:p w14:paraId="3CDE2783">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p>
        </w:tc>
        <w:tc>
          <w:tcPr>
            <w:tcW w:w="735" w:type="dxa"/>
            <w:tcBorders>
              <w:top w:val="nil"/>
              <w:left w:val="nil"/>
              <w:bottom w:val="nil"/>
              <w:right w:val="nil"/>
            </w:tcBorders>
            <w:shd w:val="clear" w:color="auto" w:fill="auto"/>
            <w:vAlign w:val="center"/>
          </w:tcPr>
          <w:p w14:paraId="028D0951">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c>
          <w:tcPr>
            <w:tcW w:w="735" w:type="dxa"/>
            <w:tcBorders>
              <w:top w:val="nil"/>
              <w:left w:val="nil"/>
              <w:bottom w:val="nil"/>
              <w:right w:val="nil"/>
            </w:tcBorders>
            <w:shd w:val="clear" w:color="auto" w:fill="auto"/>
            <w:vAlign w:val="center"/>
          </w:tcPr>
          <w:p w14:paraId="1709F064">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c>
          <w:tcPr>
            <w:tcW w:w="735" w:type="dxa"/>
            <w:tcBorders>
              <w:top w:val="nil"/>
              <w:left w:val="nil"/>
              <w:bottom w:val="nil"/>
              <w:right w:val="nil"/>
            </w:tcBorders>
            <w:shd w:val="clear" w:color="auto" w:fill="auto"/>
            <w:vAlign w:val="center"/>
          </w:tcPr>
          <w:p w14:paraId="1BD45E96">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r>
      <w:tr w14:paraId="46450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7" w:type="dxa"/>
            <w:tcBorders>
              <w:top w:val="nil"/>
              <w:left w:val="nil"/>
              <w:bottom w:val="nil"/>
              <w:right w:val="nil"/>
            </w:tcBorders>
            <w:shd w:val="clear" w:color="auto" w:fill="auto"/>
            <w:vAlign w:val="center"/>
          </w:tcPr>
          <w:p w14:paraId="37AC6E2C">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rPr>
            </w:pPr>
            <w:r>
              <w:rPr>
                <w:rFonts w:hint="default" w:ascii="Times New Roman" w:hAnsi="Times New Roman" w:eastAsia="Times New Roman" w:cs="Times New Roman"/>
                <w:color w:val="auto"/>
                <w:sz w:val="24"/>
                <w:szCs w:val="24"/>
                <w:highlight w:val="none"/>
              </w:rPr>
              <w:t>Ind</w:t>
            </w:r>
            <w:r>
              <w:rPr>
                <w:rFonts w:hint="default" w:ascii="Times New Roman" w:hAnsi="Times New Roman" w:eastAsia="Times New Roman" w:cs="Times New Roman"/>
                <w:color w:val="auto"/>
                <w:sz w:val="24"/>
                <w:szCs w:val="24"/>
                <w:highlight w:val="none"/>
                <w:lang w:val="en-US" w:eastAsia="zh-CN"/>
              </w:rPr>
              <w:t>×</w:t>
            </w:r>
            <w:r>
              <w:rPr>
                <w:rFonts w:hint="default" w:ascii="Times New Roman" w:hAnsi="Times New Roman" w:eastAsia="Times New Roman" w:cs="Times New Roman"/>
                <w:color w:val="auto"/>
                <w:sz w:val="24"/>
                <w:szCs w:val="24"/>
                <w:highlight w:val="none"/>
              </w:rPr>
              <w:t>Pro</w:t>
            </w:r>
            <w:r>
              <w:rPr>
                <w:rFonts w:hint="default" w:ascii="Times New Roman" w:hAnsi="Times New Roman" w:eastAsia="Times New Roman" w:cs="Times New Roman"/>
                <w:color w:val="auto"/>
                <w:sz w:val="24"/>
                <w:szCs w:val="24"/>
                <w:highlight w:val="none"/>
                <w:lang w:val="en-US" w:eastAsia="zh-CN"/>
              </w:rPr>
              <w:t>×</w:t>
            </w:r>
            <w:r>
              <w:rPr>
                <w:rFonts w:hint="default" w:ascii="Times New Roman" w:hAnsi="Times New Roman" w:eastAsia="Times New Roman" w:cs="Times New Roman"/>
                <w:color w:val="auto"/>
                <w:sz w:val="24"/>
                <w:szCs w:val="24"/>
                <w:highlight w:val="none"/>
              </w:rPr>
              <w:t>Year</w:t>
            </w:r>
          </w:p>
        </w:tc>
        <w:tc>
          <w:tcPr>
            <w:tcW w:w="735" w:type="dxa"/>
            <w:tcBorders>
              <w:top w:val="nil"/>
              <w:left w:val="nil"/>
              <w:bottom w:val="nil"/>
              <w:right w:val="nil"/>
            </w:tcBorders>
            <w:shd w:val="clear" w:color="auto" w:fill="auto"/>
            <w:vAlign w:val="center"/>
          </w:tcPr>
          <w:p w14:paraId="745BCA3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35" w:type="dxa"/>
            <w:tcBorders>
              <w:top w:val="nil"/>
              <w:left w:val="nil"/>
              <w:bottom w:val="nil"/>
              <w:right w:val="nil"/>
            </w:tcBorders>
            <w:shd w:val="clear" w:color="auto" w:fill="auto"/>
            <w:vAlign w:val="center"/>
          </w:tcPr>
          <w:p w14:paraId="7C1E0530">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96" w:type="dxa"/>
            <w:tcBorders>
              <w:top w:val="nil"/>
              <w:left w:val="nil"/>
              <w:bottom w:val="nil"/>
              <w:right w:val="nil"/>
            </w:tcBorders>
            <w:shd w:val="clear" w:color="auto" w:fill="auto"/>
            <w:vAlign w:val="center"/>
          </w:tcPr>
          <w:p w14:paraId="74DE332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rPr>
            </w:pPr>
          </w:p>
        </w:tc>
        <w:tc>
          <w:tcPr>
            <w:tcW w:w="735" w:type="dxa"/>
            <w:tcBorders>
              <w:top w:val="nil"/>
              <w:left w:val="nil"/>
              <w:bottom w:val="nil"/>
              <w:right w:val="nil"/>
            </w:tcBorders>
            <w:shd w:val="clear" w:color="auto" w:fill="auto"/>
            <w:vAlign w:val="center"/>
          </w:tcPr>
          <w:p w14:paraId="63C65159">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p>
        </w:tc>
        <w:tc>
          <w:tcPr>
            <w:tcW w:w="796" w:type="dxa"/>
            <w:tcBorders>
              <w:top w:val="nil"/>
              <w:left w:val="nil"/>
              <w:bottom w:val="nil"/>
              <w:right w:val="nil"/>
            </w:tcBorders>
            <w:shd w:val="clear" w:color="auto" w:fill="auto"/>
            <w:vAlign w:val="center"/>
          </w:tcPr>
          <w:p w14:paraId="3D7378C3">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p>
        </w:tc>
        <w:tc>
          <w:tcPr>
            <w:tcW w:w="796" w:type="dxa"/>
            <w:tcBorders>
              <w:top w:val="nil"/>
              <w:left w:val="nil"/>
              <w:bottom w:val="nil"/>
              <w:right w:val="nil"/>
            </w:tcBorders>
            <w:shd w:val="clear" w:color="auto" w:fill="auto"/>
            <w:vAlign w:val="center"/>
          </w:tcPr>
          <w:p w14:paraId="727838C6">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p>
        </w:tc>
        <w:tc>
          <w:tcPr>
            <w:tcW w:w="791" w:type="dxa"/>
            <w:tcBorders>
              <w:top w:val="nil"/>
              <w:left w:val="nil"/>
              <w:bottom w:val="nil"/>
              <w:right w:val="nil"/>
            </w:tcBorders>
            <w:shd w:val="clear" w:color="auto" w:fill="auto"/>
            <w:vAlign w:val="center"/>
          </w:tcPr>
          <w:p w14:paraId="6DB5FCC7">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Yes</w:t>
            </w:r>
          </w:p>
        </w:tc>
        <w:tc>
          <w:tcPr>
            <w:tcW w:w="735" w:type="dxa"/>
            <w:tcBorders>
              <w:top w:val="nil"/>
              <w:left w:val="nil"/>
              <w:bottom w:val="nil"/>
              <w:right w:val="nil"/>
            </w:tcBorders>
            <w:shd w:val="clear" w:color="auto" w:fill="auto"/>
            <w:vAlign w:val="center"/>
          </w:tcPr>
          <w:p w14:paraId="5A3F7D41">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c>
          <w:tcPr>
            <w:tcW w:w="735" w:type="dxa"/>
            <w:tcBorders>
              <w:top w:val="nil"/>
              <w:left w:val="nil"/>
              <w:bottom w:val="nil"/>
              <w:right w:val="nil"/>
            </w:tcBorders>
            <w:shd w:val="clear" w:color="auto" w:fill="auto"/>
            <w:vAlign w:val="center"/>
          </w:tcPr>
          <w:p w14:paraId="5AC3143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c>
          <w:tcPr>
            <w:tcW w:w="735" w:type="dxa"/>
            <w:tcBorders>
              <w:top w:val="nil"/>
              <w:left w:val="nil"/>
              <w:bottom w:val="nil"/>
              <w:right w:val="nil"/>
            </w:tcBorders>
            <w:shd w:val="clear" w:color="auto" w:fill="auto"/>
            <w:vAlign w:val="center"/>
          </w:tcPr>
          <w:p w14:paraId="791B8120">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rPr>
            </w:pPr>
          </w:p>
        </w:tc>
      </w:tr>
      <w:tr w14:paraId="0AD4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7" w:type="dxa"/>
            <w:tcBorders>
              <w:top w:val="nil"/>
              <w:left w:val="nil"/>
              <w:bottom w:val="nil"/>
              <w:right w:val="nil"/>
            </w:tcBorders>
            <w:shd w:val="clear" w:color="auto" w:fill="auto"/>
            <w:vAlign w:val="center"/>
          </w:tcPr>
          <w:p w14:paraId="30617623">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N</w:t>
            </w:r>
          </w:p>
        </w:tc>
        <w:tc>
          <w:tcPr>
            <w:tcW w:w="735" w:type="dxa"/>
            <w:tcBorders>
              <w:top w:val="nil"/>
              <w:left w:val="nil"/>
              <w:bottom w:val="nil"/>
              <w:right w:val="nil"/>
            </w:tcBorders>
            <w:shd w:val="clear" w:color="auto" w:fill="auto"/>
            <w:vAlign w:val="center"/>
          </w:tcPr>
          <w:p w14:paraId="42335A6D">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28318</w:t>
            </w:r>
          </w:p>
        </w:tc>
        <w:tc>
          <w:tcPr>
            <w:tcW w:w="735" w:type="dxa"/>
            <w:tcBorders>
              <w:top w:val="nil"/>
              <w:left w:val="nil"/>
              <w:bottom w:val="nil"/>
              <w:right w:val="nil"/>
            </w:tcBorders>
            <w:shd w:val="clear" w:color="auto" w:fill="auto"/>
            <w:vAlign w:val="center"/>
          </w:tcPr>
          <w:p w14:paraId="6C45EEFF">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28318</w:t>
            </w:r>
          </w:p>
        </w:tc>
        <w:tc>
          <w:tcPr>
            <w:tcW w:w="796" w:type="dxa"/>
            <w:tcBorders>
              <w:top w:val="nil"/>
              <w:left w:val="nil"/>
              <w:bottom w:val="nil"/>
              <w:right w:val="nil"/>
            </w:tcBorders>
            <w:shd w:val="clear" w:color="auto" w:fill="auto"/>
            <w:vAlign w:val="center"/>
          </w:tcPr>
          <w:p w14:paraId="1CA89857">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rPr>
            </w:pPr>
            <w:r>
              <w:rPr>
                <w:rFonts w:hint="default" w:ascii="Times New Roman" w:hAnsi="Times New Roman" w:eastAsia="Times New Roman" w:cs="Times New Roman"/>
                <w:color w:val="auto"/>
                <w:sz w:val="24"/>
                <w:szCs w:val="24"/>
                <w:highlight w:val="none"/>
              </w:rPr>
              <w:t>28318</w:t>
            </w:r>
          </w:p>
        </w:tc>
        <w:tc>
          <w:tcPr>
            <w:tcW w:w="735" w:type="dxa"/>
            <w:tcBorders>
              <w:top w:val="nil"/>
              <w:left w:val="nil"/>
              <w:bottom w:val="nil"/>
              <w:right w:val="nil"/>
            </w:tcBorders>
            <w:shd w:val="clear" w:color="auto" w:fill="auto"/>
            <w:vAlign w:val="center"/>
          </w:tcPr>
          <w:p w14:paraId="256DB84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28059</w:t>
            </w:r>
          </w:p>
        </w:tc>
        <w:tc>
          <w:tcPr>
            <w:tcW w:w="796" w:type="dxa"/>
            <w:tcBorders>
              <w:top w:val="nil"/>
              <w:left w:val="nil"/>
              <w:bottom w:val="nil"/>
              <w:right w:val="nil"/>
            </w:tcBorders>
            <w:shd w:val="clear" w:color="auto" w:fill="auto"/>
            <w:vAlign w:val="center"/>
          </w:tcPr>
          <w:p w14:paraId="47B1D558">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28242</w:t>
            </w:r>
          </w:p>
        </w:tc>
        <w:tc>
          <w:tcPr>
            <w:tcW w:w="796" w:type="dxa"/>
            <w:tcBorders>
              <w:top w:val="nil"/>
              <w:left w:val="nil"/>
              <w:bottom w:val="nil"/>
              <w:right w:val="nil"/>
            </w:tcBorders>
            <w:shd w:val="clear" w:color="auto" w:fill="auto"/>
            <w:vAlign w:val="center"/>
          </w:tcPr>
          <w:p w14:paraId="6C41CDFA">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27988</w:t>
            </w:r>
          </w:p>
        </w:tc>
        <w:tc>
          <w:tcPr>
            <w:tcW w:w="791" w:type="dxa"/>
            <w:tcBorders>
              <w:top w:val="nil"/>
              <w:left w:val="nil"/>
              <w:bottom w:val="nil"/>
              <w:right w:val="nil"/>
            </w:tcBorders>
            <w:shd w:val="clear" w:color="auto" w:fill="auto"/>
            <w:vAlign w:val="center"/>
          </w:tcPr>
          <w:p w14:paraId="02ACDB7C">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25776</w:t>
            </w:r>
          </w:p>
        </w:tc>
        <w:tc>
          <w:tcPr>
            <w:tcW w:w="735" w:type="dxa"/>
            <w:tcBorders>
              <w:top w:val="nil"/>
              <w:left w:val="nil"/>
              <w:bottom w:val="nil"/>
              <w:right w:val="nil"/>
            </w:tcBorders>
            <w:shd w:val="clear" w:color="auto" w:fill="auto"/>
            <w:vAlign w:val="center"/>
          </w:tcPr>
          <w:p w14:paraId="29BC07F2">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26300</w:t>
            </w:r>
          </w:p>
        </w:tc>
        <w:tc>
          <w:tcPr>
            <w:tcW w:w="735" w:type="dxa"/>
            <w:tcBorders>
              <w:top w:val="nil"/>
              <w:left w:val="nil"/>
              <w:bottom w:val="nil"/>
              <w:right w:val="nil"/>
            </w:tcBorders>
            <w:shd w:val="clear" w:color="auto" w:fill="auto"/>
            <w:vAlign w:val="center"/>
          </w:tcPr>
          <w:p w14:paraId="4CE23997">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26558</w:t>
            </w:r>
          </w:p>
        </w:tc>
        <w:tc>
          <w:tcPr>
            <w:tcW w:w="735" w:type="dxa"/>
            <w:tcBorders>
              <w:top w:val="nil"/>
              <w:left w:val="nil"/>
              <w:bottom w:val="nil"/>
              <w:right w:val="nil"/>
            </w:tcBorders>
            <w:shd w:val="clear" w:color="auto" w:fill="auto"/>
            <w:vAlign w:val="center"/>
          </w:tcPr>
          <w:p w14:paraId="4A724AF0">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26713</w:t>
            </w:r>
          </w:p>
        </w:tc>
      </w:tr>
      <w:tr w14:paraId="27F06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7" w:type="dxa"/>
            <w:tcBorders>
              <w:top w:val="nil"/>
              <w:left w:val="nil"/>
              <w:bottom w:val="nil"/>
              <w:right w:val="nil"/>
            </w:tcBorders>
            <w:shd w:val="clear" w:color="auto" w:fill="auto"/>
            <w:vAlign w:val="center"/>
          </w:tcPr>
          <w:p w14:paraId="31411925">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F-statistic</w:t>
            </w:r>
          </w:p>
        </w:tc>
        <w:tc>
          <w:tcPr>
            <w:tcW w:w="735" w:type="dxa"/>
            <w:tcBorders>
              <w:top w:val="nil"/>
              <w:left w:val="nil"/>
              <w:bottom w:val="nil"/>
              <w:right w:val="nil"/>
            </w:tcBorders>
            <w:shd w:val="clear" w:color="auto" w:fill="auto"/>
            <w:vAlign w:val="center"/>
          </w:tcPr>
          <w:p w14:paraId="5B7ABF72">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366.922</w:t>
            </w:r>
            <w:r>
              <w:rPr>
                <w:rFonts w:hint="default" w:ascii="Times New Roman" w:hAnsi="Times New Roman" w:eastAsia="Times New Roman" w:cs="Times New Roman"/>
                <w:color w:val="auto"/>
                <w:sz w:val="24"/>
                <w:szCs w:val="24"/>
                <w:highlight w:val="none"/>
                <w:vertAlign w:val="superscript"/>
              </w:rPr>
              <w:t>***</w:t>
            </w:r>
          </w:p>
        </w:tc>
        <w:tc>
          <w:tcPr>
            <w:tcW w:w="735" w:type="dxa"/>
            <w:tcBorders>
              <w:top w:val="nil"/>
              <w:left w:val="nil"/>
              <w:bottom w:val="nil"/>
              <w:right w:val="nil"/>
            </w:tcBorders>
            <w:shd w:val="clear" w:color="auto" w:fill="auto"/>
            <w:vAlign w:val="center"/>
          </w:tcPr>
          <w:p w14:paraId="5A227DDD">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300.129</w:t>
            </w:r>
            <w:r>
              <w:rPr>
                <w:rFonts w:hint="default" w:ascii="Times New Roman" w:hAnsi="Times New Roman" w:eastAsia="Times New Roman" w:cs="Times New Roman"/>
                <w:color w:val="auto"/>
                <w:sz w:val="24"/>
                <w:szCs w:val="24"/>
                <w:highlight w:val="none"/>
                <w:vertAlign w:val="superscript"/>
              </w:rPr>
              <w:t>***</w:t>
            </w:r>
          </w:p>
        </w:tc>
        <w:tc>
          <w:tcPr>
            <w:tcW w:w="796" w:type="dxa"/>
            <w:tcBorders>
              <w:top w:val="nil"/>
              <w:left w:val="nil"/>
              <w:bottom w:val="nil"/>
              <w:right w:val="nil"/>
            </w:tcBorders>
            <w:shd w:val="clear" w:color="auto" w:fill="auto"/>
            <w:vAlign w:val="center"/>
          </w:tcPr>
          <w:p w14:paraId="1D5F665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rPr>
            </w:pPr>
            <w:r>
              <w:rPr>
                <w:rFonts w:hint="default" w:ascii="Times New Roman" w:hAnsi="Times New Roman" w:eastAsia="Times New Roman" w:cs="Times New Roman"/>
                <w:color w:val="auto"/>
                <w:sz w:val="24"/>
                <w:szCs w:val="24"/>
                <w:highlight w:val="none"/>
              </w:rPr>
              <w:t>309.777</w:t>
            </w:r>
            <w:r>
              <w:rPr>
                <w:rFonts w:hint="default" w:ascii="Times New Roman" w:hAnsi="Times New Roman" w:eastAsia="Times New Roman" w:cs="Times New Roman"/>
                <w:color w:val="auto"/>
                <w:sz w:val="24"/>
                <w:szCs w:val="24"/>
                <w:highlight w:val="none"/>
                <w:vertAlign w:val="superscript"/>
              </w:rPr>
              <w:t>***</w:t>
            </w:r>
          </w:p>
        </w:tc>
        <w:tc>
          <w:tcPr>
            <w:tcW w:w="735" w:type="dxa"/>
            <w:tcBorders>
              <w:top w:val="nil"/>
              <w:left w:val="nil"/>
              <w:bottom w:val="nil"/>
              <w:right w:val="nil"/>
            </w:tcBorders>
            <w:shd w:val="clear" w:color="auto" w:fill="auto"/>
            <w:vAlign w:val="center"/>
          </w:tcPr>
          <w:p w14:paraId="1CA908C5">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321.294</w:t>
            </w:r>
            <w:r>
              <w:rPr>
                <w:rFonts w:hint="default" w:ascii="Times New Roman" w:hAnsi="Times New Roman" w:eastAsia="Times New Roman" w:cs="Times New Roman"/>
                <w:color w:val="auto"/>
                <w:sz w:val="24"/>
                <w:szCs w:val="24"/>
                <w:highlight w:val="none"/>
                <w:vertAlign w:val="superscript"/>
              </w:rPr>
              <w:t>***</w:t>
            </w:r>
          </w:p>
        </w:tc>
        <w:tc>
          <w:tcPr>
            <w:tcW w:w="796" w:type="dxa"/>
            <w:tcBorders>
              <w:top w:val="nil"/>
              <w:left w:val="nil"/>
              <w:bottom w:val="nil"/>
              <w:right w:val="nil"/>
            </w:tcBorders>
            <w:shd w:val="clear" w:color="auto" w:fill="auto"/>
            <w:vAlign w:val="center"/>
          </w:tcPr>
          <w:p w14:paraId="53D97AEE">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1479.449</w:t>
            </w:r>
            <w:r>
              <w:rPr>
                <w:rFonts w:hint="default" w:ascii="Times New Roman" w:hAnsi="Times New Roman" w:eastAsia="Times New Roman" w:cs="Times New Roman"/>
                <w:color w:val="auto"/>
                <w:sz w:val="24"/>
                <w:szCs w:val="24"/>
                <w:highlight w:val="none"/>
                <w:vertAlign w:val="superscript"/>
              </w:rPr>
              <w:t>***</w:t>
            </w:r>
          </w:p>
        </w:tc>
        <w:tc>
          <w:tcPr>
            <w:tcW w:w="796" w:type="dxa"/>
            <w:tcBorders>
              <w:top w:val="nil"/>
              <w:left w:val="nil"/>
              <w:bottom w:val="nil"/>
              <w:right w:val="nil"/>
            </w:tcBorders>
            <w:shd w:val="clear" w:color="auto" w:fill="auto"/>
            <w:vAlign w:val="center"/>
          </w:tcPr>
          <w:p w14:paraId="498F4151">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1557.574</w:t>
            </w:r>
            <w:r>
              <w:rPr>
                <w:rFonts w:hint="default" w:ascii="Times New Roman" w:hAnsi="Times New Roman" w:eastAsia="Times New Roman" w:cs="Times New Roman"/>
                <w:color w:val="auto"/>
                <w:sz w:val="24"/>
                <w:szCs w:val="24"/>
                <w:highlight w:val="none"/>
                <w:vertAlign w:val="superscript"/>
              </w:rPr>
              <w:t>***</w:t>
            </w:r>
          </w:p>
        </w:tc>
        <w:tc>
          <w:tcPr>
            <w:tcW w:w="791" w:type="dxa"/>
            <w:tcBorders>
              <w:top w:val="nil"/>
              <w:left w:val="nil"/>
              <w:bottom w:val="nil"/>
              <w:right w:val="nil"/>
            </w:tcBorders>
            <w:shd w:val="clear" w:color="auto" w:fill="auto"/>
            <w:vAlign w:val="center"/>
          </w:tcPr>
          <w:p w14:paraId="3E33E031">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1159.989</w:t>
            </w:r>
            <w:r>
              <w:rPr>
                <w:rFonts w:hint="default" w:ascii="Times New Roman" w:hAnsi="Times New Roman" w:eastAsia="Times New Roman" w:cs="Times New Roman"/>
                <w:color w:val="auto"/>
                <w:sz w:val="24"/>
                <w:szCs w:val="24"/>
                <w:highlight w:val="none"/>
                <w:vertAlign w:val="superscript"/>
              </w:rPr>
              <w:t>***</w:t>
            </w:r>
          </w:p>
        </w:tc>
        <w:tc>
          <w:tcPr>
            <w:tcW w:w="735" w:type="dxa"/>
            <w:tcBorders>
              <w:top w:val="nil"/>
              <w:left w:val="nil"/>
              <w:bottom w:val="nil"/>
              <w:right w:val="nil"/>
            </w:tcBorders>
            <w:shd w:val="clear" w:color="auto" w:fill="auto"/>
            <w:vAlign w:val="center"/>
          </w:tcPr>
          <w:p w14:paraId="588ADBB8">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315.546</w:t>
            </w:r>
            <w:r>
              <w:rPr>
                <w:rFonts w:hint="default" w:ascii="Times New Roman" w:hAnsi="Times New Roman" w:eastAsia="Times New Roman" w:cs="Times New Roman"/>
                <w:color w:val="auto"/>
                <w:sz w:val="24"/>
                <w:szCs w:val="24"/>
                <w:highlight w:val="none"/>
                <w:vertAlign w:val="superscript"/>
              </w:rPr>
              <w:t>***</w:t>
            </w:r>
          </w:p>
        </w:tc>
        <w:tc>
          <w:tcPr>
            <w:tcW w:w="735" w:type="dxa"/>
            <w:tcBorders>
              <w:top w:val="nil"/>
              <w:left w:val="nil"/>
              <w:bottom w:val="nil"/>
              <w:right w:val="nil"/>
            </w:tcBorders>
            <w:shd w:val="clear" w:color="auto" w:fill="auto"/>
            <w:vAlign w:val="center"/>
          </w:tcPr>
          <w:p w14:paraId="6340A5A8">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306.473</w:t>
            </w:r>
            <w:r>
              <w:rPr>
                <w:rFonts w:hint="default" w:ascii="Times New Roman" w:hAnsi="Times New Roman" w:eastAsia="Times New Roman" w:cs="Times New Roman"/>
                <w:color w:val="auto"/>
                <w:sz w:val="24"/>
                <w:szCs w:val="24"/>
                <w:highlight w:val="none"/>
                <w:vertAlign w:val="superscript"/>
              </w:rPr>
              <w:t>***</w:t>
            </w:r>
          </w:p>
        </w:tc>
        <w:tc>
          <w:tcPr>
            <w:tcW w:w="735" w:type="dxa"/>
            <w:tcBorders>
              <w:top w:val="nil"/>
              <w:left w:val="nil"/>
              <w:bottom w:val="nil"/>
              <w:right w:val="nil"/>
            </w:tcBorders>
            <w:shd w:val="clear" w:color="auto" w:fill="auto"/>
            <w:vAlign w:val="center"/>
          </w:tcPr>
          <w:p w14:paraId="41D28CF2">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298.364</w:t>
            </w:r>
            <w:r>
              <w:rPr>
                <w:rFonts w:hint="default" w:ascii="Times New Roman" w:hAnsi="Times New Roman" w:eastAsia="Times New Roman" w:cs="Times New Roman"/>
                <w:color w:val="auto"/>
                <w:sz w:val="24"/>
                <w:szCs w:val="24"/>
                <w:highlight w:val="none"/>
                <w:vertAlign w:val="superscript"/>
              </w:rPr>
              <w:t>***</w:t>
            </w:r>
          </w:p>
        </w:tc>
      </w:tr>
      <w:tr w14:paraId="43FCC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7" w:type="dxa"/>
            <w:tcBorders>
              <w:top w:val="nil"/>
              <w:left w:val="nil"/>
              <w:bottom w:val="single" w:color="auto" w:sz="4" w:space="0"/>
              <w:right w:val="nil"/>
            </w:tcBorders>
            <w:shd w:val="clear" w:color="auto" w:fill="auto"/>
            <w:vAlign w:val="center"/>
          </w:tcPr>
          <w:p w14:paraId="235B42B6">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lang w:val="en-US" w:eastAsia="zh-CN"/>
              </w:rPr>
              <w:t>R²</w:t>
            </w:r>
          </w:p>
        </w:tc>
        <w:tc>
          <w:tcPr>
            <w:tcW w:w="735" w:type="dxa"/>
            <w:tcBorders>
              <w:top w:val="nil"/>
              <w:left w:val="nil"/>
              <w:bottom w:val="single" w:color="auto" w:sz="4" w:space="0"/>
              <w:right w:val="nil"/>
            </w:tcBorders>
            <w:shd w:val="clear" w:color="auto" w:fill="auto"/>
            <w:vAlign w:val="center"/>
          </w:tcPr>
          <w:p w14:paraId="7851478B">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0.574</w:t>
            </w:r>
          </w:p>
        </w:tc>
        <w:tc>
          <w:tcPr>
            <w:tcW w:w="735" w:type="dxa"/>
            <w:tcBorders>
              <w:top w:val="nil"/>
              <w:left w:val="nil"/>
              <w:bottom w:val="single" w:color="auto" w:sz="4" w:space="0"/>
              <w:right w:val="nil"/>
            </w:tcBorders>
            <w:shd w:val="clear" w:color="auto" w:fill="auto"/>
            <w:vAlign w:val="center"/>
          </w:tcPr>
          <w:p w14:paraId="39F4435D">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bidi="ar-SA"/>
              </w:rPr>
            </w:pPr>
            <w:r>
              <w:rPr>
                <w:rFonts w:hint="default" w:ascii="Times New Roman" w:hAnsi="Times New Roman" w:eastAsia="Times New Roman" w:cs="Times New Roman"/>
                <w:color w:val="auto"/>
                <w:sz w:val="24"/>
                <w:szCs w:val="24"/>
                <w:highlight w:val="none"/>
              </w:rPr>
              <w:t>0.488</w:t>
            </w:r>
          </w:p>
        </w:tc>
        <w:tc>
          <w:tcPr>
            <w:tcW w:w="796" w:type="dxa"/>
            <w:tcBorders>
              <w:top w:val="nil"/>
              <w:left w:val="nil"/>
              <w:bottom w:val="single" w:color="auto" w:sz="4" w:space="0"/>
              <w:right w:val="nil"/>
            </w:tcBorders>
            <w:shd w:val="clear" w:color="auto" w:fill="auto"/>
            <w:vAlign w:val="center"/>
          </w:tcPr>
          <w:p w14:paraId="5DBEA006">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sz w:val="24"/>
                <w:szCs w:val="24"/>
                <w:highlight w:val="none"/>
                <w:lang w:val="en-US" w:eastAsia="zh-CN"/>
              </w:rPr>
            </w:pPr>
            <w:r>
              <w:rPr>
                <w:rFonts w:hint="default" w:ascii="Times New Roman" w:hAnsi="Times New Roman" w:eastAsia="Times New Roman" w:cs="Times New Roman"/>
                <w:color w:val="auto"/>
                <w:sz w:val="24"/>
                <w:szCs w:val="24"/>
                <w:highlight w:val="none"/>
              </w:rPr>
              <w:t>0.509</w:t>
            </w:r>
          </w:p>
        </w:tc>
        <w:tc>
          <w:tcPr>
            <w:tcW w:w="735" w:type="dxa"/>
            <w:tcBorders>
              <w:top w:val="nil"/>
              <w:left w:val="nil"/>
              <w:bottom w:val="single" w:color="auto" w:sz="4" w:space="0"/>
              <w:right w:val="nil"/>
            </w:tcBorders>
            <w:shd w:val="clear" w:color="auto" w:fill="auto"/>
            <w:vAlign w:val="center"/>
          </w:tcPr>
          <w:p w14:paraId="69DC09E0">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0.514</w:t>
            </w:r>
          </w:p>
        </w:tc>
        <w:tc>
          <w:tcPr>
            <w:tcW w:w="796" w:type="dxa"/>
            <w:tcBorders>
              <w:top w:val="nil"/>
              <w:left w:val="nil"/>
              <w:bottom w:val="single" w:color="auto" w:sz="4" w:space="0"/>
              <w:right w:val="nil"/>
            </w:tcBorders>
            <w:shd w:val="clear" w:color="auto" w:fill="auto"/>
            <w:vAlign w:val="center"/>
          </w:tcPr>
          <w:p w14:paraId="16CFBD49">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0.795</w:t>
            </w:r>
          </w:p>
        </w:tc>
        <w:tc>
          <w:tcPr>
            <w:tcW w:w="796" w:type="dxa"/>
            <w:tcBorders>
              <w:top w:val="nil"/>
              <w:left w:val="nil"/>
              <w:bottom w:val="single" w:color="auto" w:sz="4" w:space="0"/>
              <w:right w:val="nil"/>
            </w:tcBorders>
            <w:shd w:val="clear" w:color="auto" w:fill="auto"/>
            <w:vAlign w:val="center"/>
          </w:tcPr>
          <w:p w14:paraId="7F4D78C2">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0.785</w:t>
            </w:r>
          </w:p>
        </w:tc>
        <w:tc>
          <w:tcPr>
            <w:tcW w:w="791" w:type="dxa"/>
            <w:tcBorders>
              <w:top w:val="nil"/>
              <w:left w:val="nil"/>
              <w:bottom w:val="single" w:color="auto" w:sz="4" w:space="0"/>
              <w:right w:val="nil"/>
            </w:tcBorders>
            <w:shd w:val="clear" w:color="auto" w:fill="auto"/>
            <w:vAlign w:val="center"/>
          </w:tcPr>
          <w:p w14:paraId="421043D6">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bidi="ar-SA"/>
              </w:rPr>
            </w:pPr>
            <w:r>
              <w:rPr>
                <w:rFonts w:hint="default" w:ascii="Times New Roman" w:hAnsi="Times New Roman" w:eastAsia="Times New Roman" w:cs="Times New Roman"/>
                <w:color w:val="auto"/>
                <w:kern w:val="2"/>
                <w:sz w:val="24"/>
                <w:szCs w:val="24"/>
                <w:highlight w:val="none"/>
              </w:rPr>
              <w:t>0.815</w:t>
            </w:r>
          </w:p>
        </w:tc>
        <w:tc>
          <w:tcPr>
            <w:tcW w:w="735" w:type="dxa"/>
            <w:tcBorders>
              <w:top w:val="nil"/>
              <w:left w:val="nil"/>
              <w:bottom w:val="single" w:color="auto" w:sz="4" w:space="0"/>
              <w:right w:val="nil"/>
            </w:tcBorders>
            <w:shd w:val="clear" w:color="auto" w:fill="auto"/>
            <w:vAlign w:val="center"/>
          </w:tcPr>
          <w:p w14:paraId="400732D7">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0.494</w:t>
            </w:r>
          </w:p>
        </w:tc>
        <w:tc>
          <w:tcPr>
            <w:tcW w:w="735" w:type="dxa"/>
            <w:tcBorders>
              <w:top w:val="nil"/>
              <w:left w:val="nil"/>
              <w:bottom w:val="single" w:color="auto" w:sz="4" w:space="0"/>
              <w:right w:val="nil"/>
            </w:tcBorders>
            <w:shd w:val="clear" w:color="auto" w:fill="auto"/>
            <w:vAlign w:val="center"/>
          </w:tcPr>
          <w:p w14:paraId="43EC8930">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0.504</w:t>
            </w:r>
          </w:p>
        </w:tc>
        <w:tc>
          <w:tcPr>
            <w:tcW w:w="735" w:type="dxa"/>
            <w:tcBorders>
              <w:top w:val="nil"/>
              <w:left w:val="nil"/>
              <w:bottom w:val="single" w:color="auto" w:sz="4" w:space="0"/>
              <w:right w:val="nil"/>
            </w:tcBorders>
            <w:shd w:val="clear" w:color="auto" w:fill="auto"/>
            <w:vAlign w:val="center"/>
          </w:tcPr>
          <w:p w14:paraId="6971E887">
            <w:pPr>
              <w:snapToGrid w:val="0"/>
              <w:spacing w:after="0" w:line="240" w:lineRule="auto"/>
              <w:ind w:left="0" w:leftChars="0" w:right="0" w:rightChars="0" w:firstLine="0" w:firstLineChars="0"/>
              <w:jc w:val="center"/>
              <w:rPr>
                <w:rFonts w:hint="default" w:ascii="Times New Roman" w:hAnsi="Times New Roman" w:eastAsia="Times New Roman" w:cs="Times New Roman"/>
                <w:color w:val="auto"/>
                <w:kern w:val="2"/>
                <w:sz w:val="24"/>
                <w:szCs w:val="24"/>
                <w:highlight w:val="none"/>
                <w:lang w:val="en-US" w:eastAsia="zh-CN"/>
              </w:rPr>
            </w:pPr>
            <w:r>
              <w:rPr>
                <w:rFonts w:hint="default" w:ascii="Times New Roman" w:hAnsi="Times New Roman" w:eastAsia="Times New Roman" w:cs="Times New Roman"/>
                <w:color w:val="auto"/>
                <w:kern w:val="2"/>
                <w:sz w:val="24"/>
                <w:szCs w:val="24"/>
                <w:highlight w:val="none"/>
              </w:rPr>
              <w:t>0.520</w:t>
            </w:r>
          </w:p>
        </w:tc>
      </w:tr>
    </w:tbl>
    <w:p w14:paraId="286A5660">
      <w:pPr>
        <w:pStyle w:val="2"/>
        <w:rPr>
          <w:rFonts w:hint="default" w:ascii="Times New Roman" w:hAnsi="Times New Roman" w:cs="Times New Roman"/>
          <w:b/>
          <w:bCs/>
          <w:i/>
          <w:iCs/>
          <w:color w:val="auto"/>
          <w:sz w:val="24"/>
          <w:szCs w:val="24"/>
          <w:highlight w:val="none"/>
          <w:shd w:val="clear" w:color="FFFFFF" w:fill="FFFFFF"/>
        </w:rPr>
      </w:pPr>
      <w:r>
        <w:rPr>
          <w:rFonts w:hint="default" w:ascii="Times New Roman" w:hAnsi="Times New Roman" w:eastAsia="Times New Roman" w:cs="Times New Roman"/>
          <w:color w:val="auto"/>
          <w:sz w:val="24"/>
          <w:szCs w:val="24"/>
          <w:highlight w:val="none"/>
          <w:shd w:val="clear" w:color="FFFFFF" w:fill="FFFFFF"/>
          <w:lang w:val="en-US" w:eastAsia="en-US" w:bidi="ar-SA"/>
        </w:rPr>
        <w:t>Notes: Standard errors in parentheses; * p &lt; 0.1, ** p &lt; 0.05, *** p &lt; 0.01.</w:t>
      </w: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E193F"/>
    <w:rsid w:val="0D1743AF"/>
    <w:rsid w:val="1A8E193F"/>
    <w:rsid w:val="1AD66D74"/>
    <w:rsid w:val="1CCA4C78"/>
    <w:rsid w:val="2F852FF1"/>
    <w:rsid w:val="5FE72D90"/>
    <w:rsid w:val="6B726902"/>
    <w:rsid w:val="78520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sz w:val="24"/>
      <w:szCs w:val="24"/>
      <w:lang w:eastAsia="zh-CN"/>
    </w:rPr>
  </w:style>
  <w:style w:type="table" w:styleId="4">
    <w:name w:val="Table Grid"/>
    <w:basedOn w:val="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287</Words>
  <Characters>1703</Characters>
  <Lines>0</Lines>
  <Paragraphs>0</Paragraphs>
  <TotalTime>5</TotalTime>
  <ScaleCrop>false</ScaleCrop>
  <LinksUpToDate>false</LinksUpToDate>
  <CharactersWithSpaces>1869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2025-12-30T03:32:00Z</dcterms:created>
  <dc:creator>Susu</dc:creator>
  <cp:lastModifiedBy>Susu</cp:lastModifiedBy>
  <dcterms:modified xsi:type="dcterms:W3CDTF">2026-03-31T11:00:21Z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BAE831F7FA8A4E20B1AB57126BF16A31_13</vt:lpwstr>
  </property>
  <property fmtid="{D5CDD505-2E9C-101B-9397-08002B2CF9AE}" pid="4" name="KSOTemplateDocerSaveRecord">
    <vt:lpwstr>eyJoZGlkIjoiZTMwOTdmNTI0MzJiNGUxMzg0NTA3NzY4NDU2ODA2OTIiLCJ1c2VySWQiOiIyNjU3NTA0OSJ9</vt:lpwstr>
  </property>
</Properties>
</file>